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5DBFF" w14:textId="699F2212" w:rsidR="00A46824" w:rsidRPr="00D0667E" w:rsidRDefault="00A46824" w:rsidP="00A46824">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E06F16">
        <w:rPr>
          <w:rFonts w:ascii="Calibri" w:eastAsia="新細明體" w:hAnsi="Calibri" w:cs="Calibri"/>
          <w:noProof w:val="0"/>
          <w:sz w:val="24"/>
          <w:szCs w:val="24"/>
          <w:lang w:eastAsia="ja-JP"/>
        </w:rPr>
        <w:t>3-</w:t>
      </w:r>
      <w:r w:rsidR="00EA5A48">
        <w:rPr>
          <w:rFonts w:ascii="Calibri" w:eastAsia="新細明體" w:hAnsi="Calibri" w:cs="Calibri"/>
          <w:noProof w:val="0"/>
          <w:sz w:val="24"/>
          <w:szCs w:val="24"/>
          <w:lang w:eastAsia="ja-JP"/>
        </w:rPr>
        <w:t>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sidR="003639FB">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471E30">
        <w:rPr>
          <w:rFonts w:ascii="Calibri" w:eastAsia="新細明體" w:hAnsi="Calibri" w:cs="Calibri"/>
          <w:noProof w:val="0"/>
          <w:sz w:val="24"/>
          <w:szCs w:val="24"/>
          <w:lang w:eastAsia="ja-JP"/>
        </w:rPr>
        <w:t>8300</w:t>
      </w:r>
    </w:p>
    <w:p w14:paraId="51E59CB4" w14:textId="31ACC8AD" w:rsidR="00A46824" w:rsidRPr="00D0667E" w:rsidRDefault="00A46824" w:rsidP="00A46824">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E06F16">
        <w:rPr>
          <w:rFonts w:ascii="Calibri" w:eastAsia="新細明體" w:hAnsi="Calibri" w:cs="Calibri"/>
          <w:b/>
          <w:sz w:val="24"/>
          <w:szCs w:val="24"/>
        </w:rPr>
        <w:t>May</w:t>
      </w:r>
      <w:r>
        <w:rPr>
          <w:rFonts w:ascii="Calibri" w:eastAsia="新細明體" w:hAnsi="Calibri" w:cs="Calibri"/>
          <w:b/>
          <w:sz w:val="24"/>
          <w:szCs w:val="24"/>
        </w:rPr>
        <w:t xml:space="preserve"> </w:t>
      </w:r>
      <w:r w:rsidR="00E06F16">
        <w:rPr>
          <w:rFonts w:ascii="Calibri" w:eastAsia="新細明體" w:hAnsi="Calibri" w:cs="Calibri"/>
          <w:b/>
          <w:sz w:val="24"/>
          <w:szCs w:val="24"/>
        </w:rPr>
        <w:t>09</w:t>
      </w:r>
      <w:r w:rsidR="00252A8A">
        <w:rPr>
          <w:rFonts w:ascii="Calibri" w:eastAsia="新細明體" w:hAnsi="Calibri" w:cs="Calibri"/>
          <w:b/>
          <w:sz w:val="24"/>
          <w:szCs w:val="24"/>
        </w:rPr>
        <w:t xml:space="preserve"> – Ma</w:t>
      </w:r>
      <w:r w:rsidR="00E06F16">
        <w:rPr>
          <w:rFonts w:ascii="Calibri" w:eastAsia="新細明體" w:hAnsi="Calibri" w:cs="Calibri"/>
          <w:b/>
          <w:sz w:val="24"/>
          <w:szCs w:val="24"/>
        </w:rPr>
        <w:t>y</w:t>
      </w:r>
      <w:r w:rsidR="00252A8A">
        <w:rPr>
          <w:rFonts w:ascii="Calibri" w:eastAsia="新細明體" w:hAnsi="Calibri" w:cs="Calibri"/>
          <w:b/>
          <w:sz w:val="24"/>
          <w:szCs w:val="24"/>
        </w:rPr>
        <w:t xml:space="preserve"> </w:t>
      </w:r>
      <w:r w:rsidR="00E06F16">
        <w:rPr>
          <w:rFonts w:ascii="Calibri" w:eastAsia="新細明體" w:hAnsi="Calibri" w:cs="Calibri"/>
          <w:b/>
          <w:sz w:val="24"/>
          <w:szCs w:val="24"/>
        </w:rPr>
        <w:t>20</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17820B81" w14:textId="4C12FD54"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E06F16">
        <w:rPr>
          <w:rFonts w:ascii="Calibri" w:eastAsia="SimSun" w:hAnsi="Calibri" w:cs="Calibri"/>
          <w:b/>
          <w:bCs/>
          <w:sz w:val="24"/>
          <w:szCs w:val="24"/>
          <w:lang w:eastAsia="en-US"/>
        </w:rPr>
        <w:t>9</w:t>
      </w:r>
      <w:r w:rsidR="004E680C" w:rsidRPr="008F5A69">
        <w:rPr>
          <w:rFonts w:ascii="Calibri" w:eastAsia="SimSun" w:hAnsi="Calibri" w:cs="Calibri"/>
          <w:b/>
          <w:bCs/>
          <w:sz w:val="24"/>
          <w:szCs w:val="24"/>
          <w:lang w:eastAsia="en-US"/>
        </w:rPr>
        <w:t>.1</w:t>
      </w:r>
      <w:r w:rsidR="00E06F16">
        <w:rPr>
          <w:rFonts w:ascii="Calibri" w:eastAsia="SimSun" w:hAnsi="Calibri" w:cs="Calibri"/>
          <w:b/>
          <w:bCs/>
          <w:sz w:val="24"/>
          <w:szCs w:val="24"/>
          <w:lang w:eastAsia="en-US"/>
        </w:rPr>
        <w:t>0</w:t>
      </w:r>
      <w:r w:rsidR="004E680C" w:rsidRPr="008F5A69">
        <w:rPr>
          <w:rFonts w:ascii="Calibri" w:eastAsia="SimSun" w:hAnsi="Calibri" w:cs="Calibri"/>
          <w:b/>
          <w:bCs/>
          <w:sz w:val="24"/>
          <w:szCs w:val="24"/>
          <w:lang w:eastAsia="en-US"/>
        </w:rPr>
        <w:t>.2.1</w:t>
      </w:r>
    </w:p>
    <w:p w14:paraId="730018CB" w14:textId="7777777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MediaTek Inc. </w:t>
      </w:r>
    </w:p>
    <w:p w14:paraId="65C42824" w14:textId="51E7B8F0"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5A042E" w:rsidRPr="005A042E">
        <w:rPr>
          <w:rFonts w:ascii="Calibri" w:eastAsia="SimSun" w:hAnsi="Calibri" w:cs="Calibri"/>
          <w:b/>
          <w:bCs/>
          <w:sz w:val="24"/>
          <w:szCs w:val="24"/>
          <w:lang w:eastAsia="en-US"/>
        </w:rPr>
        <w:t>Discussion on test case scope for pre-configured gap</w:t>
      </w:r>
    </w:p>
    <w:p w14:paraId="3144EBC8" w14:textId="77777777"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14:paraId="3C16376A" w14:textId="77777777"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656482DB" w14:textId="6ED23858" w:rsidR="009D1737" w:rsidRDefault="005A042E" w:rsidP="00B85E98">
      <w:pPr>
        <w:jc w:val="both"/>
        <w:rPr>
          <w:rFonts w:ascii="Calibri" w:eastAsiaTheme="minorEastAsia" w:hAnsi="Calibri" w:cs="Calibri"/>
          <w:lang w:val="en-US" w:eastAsia="zh-CN"/>
        </w:rPr>
      </w:pPr>
      <w:bookmarkStart w:id="6" w:name="_Ref516345544"/>
      <w:r>
        <w:rPr>
          <w:rFonts w:ascii="Calibri" w:eastAsiaTheme="minorEastAsia" w:hAnsi="Calibri" w:cs="Calibri"/>
          <w:lang w:val="en-US" w:eastAsia="zh-CN"/>
        </w:rPr>
        <w:t>RAN4 finalized the core part requirement of Pre-MG in RAN4#</w:t>
      </w:r>
      <w:r w:rsidR="00BD32DB">
        <w:rPr>
          <w:rFonts w:ascii="Calibri" w:eastAsiaTheme="minorEastAsia" w:hAnsi="Calibri" w:cs="Calibri"/>
          <w:lang w:val="en-US" w:eastAsia="zh-CN"/>
        </w:rPr>
        <w:t>102</w:t>
      </w:r>
      <w:r>
        <w:rPr>
          <w:rFonts w:ascii="Calibri" w:eastAsiaTheme="minorEastAsia" w:hAnsi="Calibri" w:cs="Calibri"/>
          <w:lang w:val="en-US" w:eastAsia="zh-CN"/>
        </w:rPr>
        <w:t xml:space="preserve">e </w:t>
      </w:r>
      <w:r w:rsidR="00EF53BE">
        <w:rPr>
          <w:rFonts w:ascii="Calibri" w:eastAsiaTheme="minorEastAsia" w:hAnsi="Calibri" w:cs="Calibri"/>
          <w:lang w:val="en-US" w:eastAsia="zh-CN"/>
        </w:rPr>
        <w:t xml:space="preserve">meeting. Therefore, in this paper we discuss the expected test case scope for Pre-MG. </w:t>
      </w:r>
    </w:p>
    <w:p w14:paraId="772F555E" w14:textId="344ABFFB" w:rsidR="00322531" w:rsidRPr="00D0667E" w:rsidRDefault="00201B00" w:rsidP="00322531">
      <w:pPr>
        <w:pStyle w:val="Heading1"/>
        <w:numPr>
          <w:ilvl w:val="0"/>
          <w:numId w:val="1"/>
        </w:numPr>
        <w:ind w:hanging="720"/>
        <w:jc w:val="both"/>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Discussion</w:t>
      </w:r>
    </w:p>
    <w:p w14:paraId="6E2A9D1B" w14:textId="77777777" w:rsidR="009D79EE" w:rsidRPr="009D79EE" w:rsidRDefault="009D79EE" w:rsidP="009D79EE">
      <w:pPr>
        <w:rPr>
          <w:rFonts w:asciiTheme="minorHAnsi" w:eastAsia="新細明體" w:hAnsiTheme="minorHAnsi" w:cstheme="minorHAnsi"/>
          <w:bCs/>
          <w:lang w:val="en-US" w:eastAsia="zh-TW"/>
        </w:rPr>
      </w:pPr>
      <w:bookmarkStart w:id="7" w:name="_Hlk101267855"/>
      <w:bookmarkStart w:id="8" w:name="_Ref54117246"/>
      <w:r w:rsidRPr="009D79EE">
        <w:rPr>
          <w:rFonts w:asciiTheme="minorHAnsi" w:eastAsia="新細明體" w:hAnsiTheme="minorHAnsi" w:cstheme="minorHAnsi"/>
          <w:bCs/>
          <w:lang w:val="en-US" w:eastAsia="zh-TW"/>
        </w:rPr>
        <w:t>As RAN2 only introduces the corresponding RRC signal for NR-SA, the test cases should also be limited to NR-SA, i.e., Section A.6 and A.7.</w:t>
      </w:r>
    </w:p>
    <w:p w14:paraId="73D9FE14" w14:textId="5011140F" w:rsidR="009D79EE" w:rsidRDefault="009D79EE" w:rsidP="009D79EE">
      <w:pPr>
        <w:pStyle w:val="Caption"/>
        <w:rPr>
          <w:rFonts w:asciiTheme="minorHAnsi" w:eastAsia="新細明體" w:hAnsiTheme="minorHAnsi" w:cstheme="minorHAnsi"/>
          <w:bCs/>
          <w:lang w:val="en-US" w:eastAsia="zh-TW"/>
        </w:rPr>
      </w:pPr>
      <w:bookmarkStart w:id="9" w:name="_Ref101207104"/>
      <w:r>
        <w:t xml:space="preserve">Proposal </w:t>
      </w:r>
      <w:r>
        <w:fldChar w:fldCharType="begin"/>
      </w:r>
      <w:r>
        <w:instrText xml:space="preserve"> SEQ Proposal \* ARABIC </w:instrText>
      </w:r>
      <w:r>
        <w:fldChar w:fldCharType="separate"/>
      </w:r>
      <w:r>
        <w:rPr>
          <w:noProof/>
        </w:rPr>
        <w:t>1</w:t>
      </w:r>
      <w:r>
        <w:fldChar w:fldCharType="end"/>
      </w:r>
      <w:r>
        <w:t>: T</w:t>
      </w:r>
      <w:r w:rsidRPr="00CF5C64">
        <w:t xml:space="preserve">he </w:t>
      </w:r>
      <w:r>
        <w:t xml:space="preserve">Pre-MG </w:t>
      </w:r>
      <w:r w:rsidRPr="00CF5C64">
        <w:t>test cases should also be limited to NR-SA, i.e., Section A.6 and A.7</w:t>
      </w:r>
      <w:r>
        <w:t>, while Section A.3 can also be updated to capture new configurations if needed.</w:t>
      </w:r>
      <w:bookmarkEnd w:id="9"/>
      <w:r>
        <w:t xml:space="preserve"> </w:t>
      </w:r>
    </w:p>
    <w:bookmarkEnd w:id="7"/>
    <w:p w14:paraId="415C21B8" w14:textId="77777777" w:rsidR="009D79EE" w:rsidRDefault="009D79EE" w:rsidP="00457AE7">
      <w:pPr>
        <w:jc w:val="both"/>
        <w:rPr>
          <w:rFonts w:asciiTheme="minorHAnsi" w:eastAsia="新細明體" w:hAnsiTheme="minorHAnsi" w:cstheme="minorHAnsi"/>
          <w:bCs/>
          <w:lang w:val="en-US" w:eastAsia="zh-TW"/>
        </w:rPr>
      </w:pPr>
    </w:p>
    <w:p w14:paraId="7EF75DCB" w14:textId="1A8026C5" w:rsidR="00D7387E" w:rsidRDefault="0092266B" w:rsidP="00457AE7">
      <w:pPr>
        <w:jc w:val="both"/>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B</w:t>
      </w:r>
      <w:r>
        <w:rPr>
          <w:rFonts w:asciiTheme="minorHAnsi" w:eastAsia="新細明體" w:hAnsiTheme="minorHAnsi" w:cstheme="minorHAnsi"/>
          <w:bCs/>
          <w:lang w:val="en-US" w:eastAsia="zh-TW"/>
        </w:rPr>
        <w:t>efore discussing the detail scope, it is important to look at the WI summary [1]. We copied and pasted the part related to Pre-MG as below.</w:t>
      </w:r>
    </w:p>
    <w:tbl>
      <w:tblPr>
        <w:tblStyle w:val="TableGrid"/>
        <w:tblW w:w="0" w:type="auto"/>
        <w:tblInd w:w="200" w:type="dxa"/>
        <w:tblLook w:val="04A0" w:firstRow="1" w:lastRow="0" w:firstColumn="1" w:lastColumn="0" w:noHBand="0" w:noVBand="1"/>
      </w:tblPr>
      <w:tblGrid>
        <w:gridCol w:w="9429"/>
      </w:tblGrid>
      <w:tr w:rsidR="0092266B" w14:paraId="77B9EA2A" w14:textId="77777777" w:rsidTr="00CE5754">
        <w:tc>
          <w:tcPr>
            <w:tcW w:w="9429" w:type="dxa"/>
          </w:tcPr>
          <w:p w14:paraId="60298E3C" w14:textId="77777777" w:rsidR="0092266B" w:rsidRDefault="0092266B" w:rsidP="0092266B">
            <w:pPr>
              <w:numPr>
                <w:ilvl w:val="0"/>
                <w:numId w:val="36"/>
              </w:numPr>
              <w:spacing w:after="0"/>
            </w:pPr>
            <w:r w:rsidRPr="00FF0988">
              <w:t xml:space="preserve">Pre-configured MG pattern(s) </w:t>
            </w:r>
          </w:p>
          <w:p w14:paraId="35426F49" w14:textId="2333127F" w:rsidR="0092266B" w:rsidRPr="00FF0988" w:rsidRDefault="0092266B" w:rsidP="0092266B">
            <w:pPr>
              <w:numPr>
                <w:ilvl w:val="1"/>
                <w:numId w:val="36"/>
              </w:numPr>
              <w:spacing w:after="0"/>
            </w:pPr>
            <w:r w:rsidRPr="008B2FF9">
              <w:rPr>
                <w:rFonts w:eastAsia="新細明體"/>
                <w:lang w:eastAsia="zh-TW"/>
              </w:rPr>
              <w:t xml:space="preserve">Introduced 2 activation/de-activation mechanisms </w:t>
            </w:r>
            <w:r>
              <w:rPr>
                <w:rFonts w:eastAsia="新細明體"/>
                <w:lang w:eastAsia="zh-TW"/>
              </w:rPr>
              <w:t>and corresponding UE capabilities to support these two mechanism</w:t>
            </w:r>
          </w:p>
          <w:p w14:paraId="50B4150A" w14:textId="77777777" w:rsidR="0092266B" w:rsidRPr="00FF0988" w:rsidRDefault="0092266B" w:rsidP="0092266B">
            <w:pPr>
              <w:numPr>
                <w:ilvl w:val="2"/>
                <w:numId w:val="36"/>
              </w:numPr>
              <w:spacing w:after="0"/>
              <w:ind w:left="1134" w:hanging="174"/>
            </w:pPr>
            <w:r w:rsidRPr="008B2FF9">
              <w:rPr>
                <w:rFonts w:eastAsia="新細明體" w:hint="eastAsia"/>
                <w:lang w:eastAsia="zh-TW"/>
              </w:rPr>
              <w:t>N</w:t>
            </w:r>
            <w:r w:rsidRPr="008B2FF9">
              <w:rPr>
                <w:rFonts w:eastAsia="新細明體"/>
                <w:lang w:eastAsia="zh-TW"/>
              </w:rPr>
              <w:t>etwork controlled mechanism, in which UE follows the 1-bit per-BWP indication</w:t>
            </w:r>
            <w:r>
              <w:rPr>
                <w:rFonts w:eastAsia="新細明體"/>
                <w:lang w:eastAsia="zh-TW"/>
              </w:rPr>
              <w:t xml:space="preserve">s in active servings cell and 1-bit indication in deactivated serving cells </w:t>
            </w:r>
            <w:r w:rsidRPr="008B2FF9">
              <w:rPr>
                <w:rFonts w:eastAsia="新細明體"/>
                <w:lang w:eastAsia="zh-TW"/>
              </w:rPr>
              <w:t>to decide the ON/OFF status of the pre-configured MG</w:t>
            </w:r>
          </w:p>
          <w:p w14:paraId="27981273" w14:textId="77777777" w:rsidR="0092266B" w:rsidRPr="00280D86" w:rsidRDefault="0092266B" w:rsidP="0092266B">
            <w:pPr>
              <w:numPr>
                <w:ilvl w:val="2"/>
                <w:numId w:val="36"/>
              </w:numPr>
              <w:spacing w:after="0"/>
              <w:ind w:left="1134" w:hanging="174"/>
            </w:pPr>
            <w:r w:rsidRPr="008B2FF9">
              <w:rPr>
                <w:rFonts w:eastAsia="新細明體" w:hint="eastAsia"/>
                <w:lang w:eastAsia="zh-TW"/>
              </w:rPr>
              <w:t>U</w:t>
            </w:r>
            <w:r w:rsidRPr="008B2FF9">
              <w:rPr>
                <w:rFonts w:eastAsia="新細明體"/>
                <w:lang w:eastAsia="zh-TW"/>
              </w:rPr>
              <w:t>E autonomous mechanism, in which UE follow</w:t>
            </w:r>
            <w:r>
              <w:rPr>
                <w:rFonts w:eastAsia="新細明體"/>
                <w:lang w:eastAsia="zh-TW"/>
              </w:rPr>
              <w:t>s</w:t>
            </w:r>
            <w:r w:rsidRPr="008B2FF9">
              <w:rPr>
                <w:rFonts w:eastAsia="新細明體"/>
                <w:lang w:eastAsia="zh-TW"/>
              </w:rPr>
              <w:t xml:space="preserve"> the defined rules in TS38.133 </w:t>
            </w:r>
            <w:r w:rsidRPr="00B914E6">
              <w:rPr>
                <w:rFonts w:eastAsia="新細明體"/>
                <w:lang w:eastAsia="zh-TW"/>
              </w:rPr>
              <w:t>to decide the ON/OFF status of the pre-configured MG. If MG is not needed for all measurements, the pre-configured gap should be deactivated</w:t>
            </w:r>
            <w:r>
              <w:rPr>
                <w:rFonts w:eastAsia="新細明體"/>
                <w:lang w:eastAsia="zh-TW"/>
              </w:rPr>
              <w:t xml:space="preserve"> (OFF) </w:t>
            </w:r>
            <w:r w:rsidRPr="00B914E6">
              <w:rPr>
                <w:rFonts w:eastAsia="新細明體"/>
                <w:lang w:eastAsia="zh-TW"/>
              </w:rPr>
              <w:t>; Otherwise, activated</w:t>
            </w:r>
            <w:r>
              <w:rPr>
                <w:rFonts w:eastAsia="新細明體"/>
                <w:lang w:eastAsia="zh-TW"/>
              </w:rPr>
              <w:t xml:space="preserve"> (ON)</w:t>
            </w:r>
            <w:r w:rsidRPr="00B914E6">
              <w:rPr>
                <w:rFonts w:eastAsia="新細明體"/>
                <w:lang w:eastAsia="zh-TW"/>
              </w:rPr>
              <w:t xml:space="preserve">. Events that may trigger UE to re-check the ON/OFF status includes </w:t>
            </w:r>
          </w:p>
          <w:p w14:paraId="10089C3F" w14:textId="77777777" w:rsidR="0092266B" w:rsidRPr="00280D86" w:rsidRDefault="0092266B" w:rsidP="0092266B">
            <w:pPr>
              <w:numPr>
                <w:ilvl w:val="3"/>
                <w:numId w:val="37"/>
              </w:numPr>
              <w:spacing w:after="0"/>
            </w:pPr>
            <w:r w:rsidRPr="003F174D">
              <w:rPr>
                <w:rFonts w:eastAsia="新細明體"/>
                <w:lang w:eastAsia="zh-TW"/>
              </w:rPr>
              <w:t xml:space="preserve">DCI/Timer based BWP switching, </w:t>
            </w:r>
          </w:p>
          <w:p w14:paraId="355EE7E4" w14:textId="77777777" w:rsidR="0092266B" w:rsidRPr="00280D86" w:rsidRDefault="0092266B" w:rsidP="0092266B">
            <w:pPr>
              <w:numPr>
                <w:ilvl w:val="3"/>
                <w:numId w:val="37"/>
              </w:numPr>
              <w:spacing w:after="0"/>
            </w:pPr>
            <w:r>
              <w:rPr>
                <w:rFonts w:eastAsia="新細明體"/>
                <w:lang w:eastAsia="zh-TW"/>
              </w:rPr>
              <w:t>a</w:t>
            </w:r>
            <w:r w:rsidRPr="003F174D">
              <w:rPr>
                <w:rFonts w:eastAsia="新細明體"/>
                <w:lang w:eastAsia="zh-TW"/>
              </w:rPr>
              <w:t xml:space="preserve">ctivation/de-activation of SCell(s), </w:t>
            </w:r>
          </w:p>
          <w:p w14:paraId="14F2E8DA" w14:textId="77777777" w:rsidR="0092266B" w:rsidRPr="00280D86" w:rsidRDefault="0092266B" w:rsidP="0092266B">
            <w:pPr>
              <w:numPr>
                <w:ilvl w:val="3"/>
                <w:numId w:val="37"/>
              </w:numPr>
              <w:spacing w:after="0"/>
            </w:pPr>
            <w:r>
              <w:rPr>
                <w:rFonts w:eastAsia="新細明體"/>
                <w:lang w:eastAsia="zh-TW"/>
              </w:rPr>
              <w:t>a</w:t>
            </w:r>
            <w:r w:rsidRPr="003F174D">
              <w:rPr>
                <w:rFonts w:eastAsia="新細明體"/>
                <w:lang w:eastAsia="zh-TW"/>
              </w:rPr>
              <w:t xml:space="preserve">ddition/removal of any measurement object(s), </w:t>
            </w:r>
          </w:p>
          <w:p w14:paraId="45DBB090" w14:textId="77777777" w:rsidR="0092266B" w:rsidRPr="00280D86" w:rsidRDefault="0092266B" w:rsidP="0092266B">
            <w:pPr>
              <w:numPr>
                <w:ilvl w:val="3"/>
                <w:numId w:val="37"/>
              </w:numPr>
              <w:spacing w:after="0"/>
            </w:pPr>
            <w:r>
              <w:rPr>
                <w:rFonts w:eastAsia="新細明體"/>
                <w:lang w:eastAsia="zh-TW"/>
              </w:rPr>
              <w:t>a</w:t>
            </w:r>
            <w:r w:rsidRPr="003F174D">
              <w:rPr>
                <w:rFonts w:eastAsia="新細明體"/>
                <w:lang w:eastAsia="zh-TW"/>
              </w:rPr>
              <w:t xml:space="preserve">ddition/release/change of a Scell under CA , </w:t>
            </w:r>
          </w:p>
          <w:p w14:paraId="18115517" w14:textId="77777777" w:rsidR="0092266B" w:rsidRPr="00280D86" w:rsidRDefault="0092266B" w:rsidP="0092266B">
            <w:pPr>
              <w:numPr>
                <w:ilvl w:val="3"/>
                <w:numId w:val="37"/>
              </w:numPr>
              <w:spacing w:after="0"/>
            </w:pPr>
            <w:r w:rsidRPr="003F174D">
              <w:rPr>
                <w:rFonts w:eastAsia="新細明體"/>
                <w:lang w:eastAsia="zh-TW"/>
              </w:rPr>
              <w:t xml:space="preserve">BWP switching by RRC, </w:t>
            </w:r>
          </w:p>
          <w:p w14:paraId="6BF9FF7C" w14:textId="77777777" w:rsidR="0092266B" w:rsidRPr="00FF0988" w:rsidRDefault="0092266B" w:rsidP="0092266B">
            <w:pPr>
              <w:numPr>
                <w:ilvl w:val="3"/>
                <w:numId w:val="37"/>
              </w:numPr>
              <w:spacing w:after="0"/>
            </w:pPr>
            <w:r>
              <w:rPr>
                <w:rFonts w:eastAsia="新細明體"/>
                <w:lang w:eastAsia="zh-TW"/>
              </w:rPr>
              <w:t>i</w:t>
            </w:r>
            <w:r w:rsidRPr="003F174D">
              <w:rPr>
                <w:rFonts w:eastAsia="新細明體"/>
                <w:lang w:eastAsia="zh-TW"/>
              </w:rPr>
              <w:t>nitiation of LocationMeasurementIndication</w:t>
            </w:r>
          </w:p>
          <w:p w14:paraId="70CB37B9" w14:textId="77777777" w:rsidR="0092266B" w:rsidRPr="00332588" w:rsidRDefault="0092266B" w:rsidP="0092266B">
            <w:pPr>
              <w:numPr>
                <w:ilvl w:val="1"/>
                <w:numId w:val="36"/>
              </w:numPr>
              <w:spacing w:after="0"/>
            </w:pPr>
            <w:r w:rsidRPr="008B2FF9">
              <w:rPr>
                <w:rFonts w:eastAsia="新細明體"/>
                <w:lang w:eastAsia="zh-TW"/>
              </w:rPr>
              <w:t xml:space="preserve">Introduced additional delay for </w:t>
            </w:r>
            <w:r>
              <w:t>pr</w:t>
            </w:r>
            <w:r w:rsidRPr="00FF0988">
              <w:t>e-configured MG</w:t>
            </w:r>
            <w:r w:rsidRPr="00332588">
              <w:rPr>
                <w:rFonts w:eastAsia="新細明體"/>
                <w:lang w:eastAsia="zh-TW"/>
              </w:rPr>
              <w:t xml:space="preserve"> activation/deactivation </w:t>
            </w:r>
            <w:r>
              <w:rPr>
                <w:rFonts w:eastAsia="新細明體"/>
                <w:lang w:eastAsia="zh-TW"/>
              </w:rPr>
              <w:t xml:space="preserve">which is 5ms on top on the legacy procedure delay that may trigger </w:t>
            </w:r>
            <w:r>
              <w:t>pr</w:t>
            </w:r>
            <w:r w:rsidRPr="00FF0988">
              <w:t>e-configured MG</w:t>
            </w:r>
            <w:r>
              <w:rPr>
                <w:rFonts w:eastAsia="新細明體"/>
                <w:lang w:eastAsia="zh-TW"/>
              </w:rPr>
              <w:t xml:space="preserve"> status change </w:t>
            </w:r>
          </w:p>
          <w:p w14:paraId="1DEBBCE2" w14:textId="3F25A1D4" w:rsidR="0092266B" w:rsidRPr="0092266B" w:rsidRDefault="0092266B" w:rsidP="0092266B">
            <w:pPr>
              <w:pStyle w:val="ListParagraph"/>
              <w:numPr>
                <w:ilvl w:val="1"/>
                <w:numId w:val="36"/>
              </w:numPr>
              <w:rPr>
                <w:rFonts w:asciiTheme="minorHAnsi" w:eastAsia="新細明體" w:hAnsiTheme="minorHAnsi" w:cstheme="minorHAnsi"/>
                <w:bCs/>
                <w:lang w:val="en-US" w:eastAsia="zh-TW"/>
              </w:rPr>
            </w:pPr>
            <w:r w:rsidRPr="0092266B">
              <w:rPr>
                <w:rFonts w:eastAsia="新細明體"/>
                <w:lang w:eastAsia="zh-TW"/>
              </w:rPr>
              <w:t>Updated the corresponding UE requirements regarding gap interruption, measurement delay and L1 measurement impact.</w:t>
            </w:r>
          </w:p>
        </w:tc>
      </w:tr>
    </w:tbl>
    <w:p w14:paraId="75A47218" w14:textId="6B08ED08" w:rsidR="0092266B" w:rsidRDefault="00CE5754" w:rsidP="0092266B">
      <w:p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In our view, the test case scope should target to cover</w:t>
      </w:r>
      <w:r w:rsidR="0092266B">
        <w:rPr>
          <w:rFonts w:asciiTheme="minorHAnsi" w:eastAsia="新細明體" w:hAnsiTheme="minorHAnsi" w:cstheme="minorHAnsi"/>
          <w:bCs/>
          <w:lang w:val="en-US" w:eastAsia="zh-TW"/>
        </w:rPr>
        <w:t xml:space="preserve"> </w:t>
      </w:r>
      <w:r>
        <w:rPr>
          <w:rFonts w:asciiTheme="minorHAnsi" w:eastAsia="新細明體" w:hAnsiTheme="minorHAnsi" w:cstheme="minorHAnsi"/>
          <w:bCs/>
          <w:lang w:val="en-US" w:eastAsia="zh-TW"/>
        </w:rPr>
        <w:t xml:space="preserve">the following 3 </w:t>
      </w:r>
      <w:r w:rsidR="0092266B">
        <w:rPr>
          <w:rFonts w:asciiTheme="minorHAnsi" w:eastAsia="新細明體" w:hAnsiTheme="minorHAnsi" w:cstheme="minorHAnsi"/>
          <w:bCs/>
          <w:lang w:val="en-US" w:eastAsia="zh-TW"/>
        </w:rPr>
        <w:t>functionalit</w:t>
      </w:r>
      <w:r>
        <w:rPr>
          <w:rFonts w:asciiTheme="minorHAnsi" w:eastAsia="新細明體" w:hAnsiTheme="minorHAnsi" w:cstheme="minorHAnsi"/>
          <w:bCs/>
          <w:lang w:val="en-US" w:eastAsia="zh-TW"/>
        </w:rPr>
        <w:t>ies:</w:t>
      </w:r>
      <w:r w:rsidR="0092266B">
        <w:rPr>
          <w:rFonts w:asciiTheme="minorHAnsi" w:eastAsia="新細明體" w:hAnsiTheme="minorHAnsi" w:cstheme="minorHAnsi"/>
          <w:bCs/>
          <w:lang w:val="en-US" w:eastAsia="zh-TW"/>
        </w:rPr>
        <w:t xml:space="preserve"> </w:t>
      </w:r>
    </w:p>
    <w:p w14:paraId="4EED8D6D" w14:textId="5FA0D043" w:rsidR="0092266B" w:rsidRDefault="000E4BBC" w:rsidP="0092266B">
      <w:pPr>
        <w:pStyle w:val="ListParagraph"/>
        <w:numPr>
          <w:ilvl w:val="0"/>
          <w:numId w:val="38"/>
        </w:numPr>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 xml:space="preserve">Two </w:t>
      </w:r>
      <w:r w:rsidR="0092266B">
        <w:rPr>
          <w:rFonts w:asciiTheme="minorHAnsi" w:eastAsia="新細明體" w:hAnsiTheme="minorHAnsi" w:cstheme="minorHAnsi"/>
          <w:bCs/>
          <w:lang w:val="en-US" w:eastAsia="zh-TW"/>
        </w:rPr>
        <w:t>activation/deactivation mechanisms</w:t>
      </w:r>
    </w:p>
    <w:p w14:paraId="19B5D210" w14:textId="2E21C9E3" w:rsidR="0092266B" w:rsidRDefault="0092266B" w:rsidP="0092266B">
      <w:pPr>
        <w:pStyle w:val="ListParagraph"/>
        <w:numPr>
          <w:ilvl w:val="0"/>
          <w:numId w:val="38"/>
        </w:numPr>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A</w:t>
      </w:r>
      <w:r>
        <w:rPr>
          <w:rFonts w:asciiTheme="minorHAnsi" w:eastAsia="新細明體" w:hAnsiTheme="minorHAnsi" w:cstheme="minorHAnsi"/>
          <w:bCs/>
          <w:lang w:val="en-US" w:eastAsia="zh-TW"/>
        </w:rPr>
        <w:t xml:space="preserve">dditional delay for </w:t>
      </w:r>
      <w:r w:rsidRPr="0092266B">
        <w:rPr>
          <w:rFonts w:asciiTheme="minorHAnsi" w:eastAsia="新細明體" w:hAnsiTheme="minorHAnsi" w:cstheme="minorHAnsi"/>
          <w:bCs/>
          <w:lang w:val="en-US" w:eastAsia="zh-TW"/>
        </w:rPr>
        <w:t>pre-configured MG activation/deactivation</w:t>
      </w:r>
      <w:r>
        <w:rPr>
          <w:rFonts w:asciiTheme="minorHAnsi" w:eastAsia="新細明體" w:hAnsiTheme="minorHAnsi" w:cstheme="minorHAnsi"/>
          <w:bCs/>
          <w:lang w:val="en-US" w:eastAsia="zh-TW"/>
        </w:rPr>
        <w:t>.</w:t>
      </w:r>
    </w:p>
    <w:p w14:paraId="614AE001" w14:textId="51C705B0" w:rsidR="0092266B" w:rsidRDefault="0092266B" w:rsidP="0092266B">
      <w:pPr>
        <w:pStyle w:val="ListParagraph"/>
        <w:numPr>
          <w:ilvl w:val="0"/>
          <w:numId w:val="38"/>
        </w:numPr>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U</w:t>
      </w:r>
      <w:r>
        <w:rPr>
          <w:rFonts w:asciiTheme="minorHAnsi" w:eastAsia="新細明體" w:hAnsiTheme="minorHAnsi" w:cstheme="minorHAnsi"/>
          <w:bCs/>
          <w:lang w:val="en-US" w:eastAsia="zh-TW"/>
        </w:rPr>
        <w:t xml:space="preserve">pdated UE </w:t>
      </w:r>
      <w:r w:rsidR="009D79EE">
        <w:rPr>
          <w:rFonts w:asciiTheme="minorHAnsi" w:eastAsia="新細明體" w:hAnsiTheme="minorHAnsi" w:cstheme="minorHAnsi"/>
          <w:bCs/>
          <w:lang w:val="en-US" w:eastAsia="zh-TW"/>
        </w:rPr>
        <w:t xml:space="preserve">measurement </w:t>
      </w:r>
      <w:r>
        <w:rPr>
          <w:rFonts w:asciiTheme="minorHAnsi" w:eastAsia="新細明體" w:hAnsiTheme="minorHAnsi" w:cstheme="minorHAnsi"/>
          <w:bCs/>
          <w:lang w:val="en-US" w:eastAsia="zh-TW"/>
        </w:rPr>
        <w:t xml:space="preserve">requirements </w:t>
      </w:r>
    </w:p>
    <w:p w14:paraId="79EF42DE" w14:textId="2A139810" w:rsidR="00CE5754" w:rsidRPr="00CF5C64" w:rsidRDefault="00CF5C64" w:rsidP="00CF5C64">
      <w:pPr>
        <w:pStyle w:val="Caption"/>
      </w:pPr>
      <w:bookmarkStart w:id="10" w:name="_Ref101207101"/>
      <w:bookmarkStart w:id="11" w:name="_Hlk101267866"/>
      <w:r>
        <w:t xml:space="preserve">Observation </w:t>
      </w:r>
      <w:r>
        <w:fldChar w:fldCharType="begin"/>
      </w:r>
      <w:r>
        <w:instrText xml:space="preserve"> SEQ Observation \* ARABIC </w:instrText>
      </w:r>
      <w:r>
        <w:fldChar w:fldCharType="separate"/>
      </w:r>
      <w:r w:rsidR="009D79EE">
        <w:rPr>
          <w:noProof/>
        </w:rPr>
        <w:t>1</w:t>
      </w:r>
      <w:r>
        <w:fldChar w:fldCharType="end"/>
      </w:r>
      <w:r>
        <w:t xml:space="preserve">: The test case scope for Pre-MG should target to cover the following 3 main functionalities: 1) </w:t>
      </w:r>
      <w:r w:rsidRPr="00CF5C64">
        <w:t xml:space="preserve">Two activation/deactivation mechanisms, 2) </w:t>
      </w:r>
      <w:r w:rsidRPr="00CF5C64">
        <w:rPr>
          <w:rFonts w:hint="eastAsia"/>
        </w:rPr>
        <w:t>A</w:t>
      </w:r>
      <w:r w:rsidRPr="00CF5C64">
        <w:t xml:space="preserve">dditional delay for pre-configured MG activation/deactivation and 3) </w:t>
      </w:r>
      <w:r w:rsidRPr="00CF5C64">
        <w:rPr>
          <w:rFonts w:hint="eastAsia"/>
        </w:rPr>
        <w:t>U</w:t>
      </w:r>
      <w:r w:rsidRPr="00CF5C64">
        <w:t>pdated UE requirements</w:t>
      </w:r>
      <w:r>
        <w:t>.</w:t>
      </w:r>
      <w:bookmarkEnd w:id="10"/>
    </w:p>
    <w:bookmarkEnd w:id="11"/>
    <w:p w14:paraId="2B4B175A" w14:textId="77777777" w:rsidR="002C084C" w:rsidRDefault="002C084C" w:rsidP="00AC1901">
      <w:pPr>
        <w:jc w:val="both"/>
        <w:rPr>
          <w:rFonts w:asciiTheme="minorHAnsi" w:eastAsia="新細明體" w:hAnsiTheme="minorHAnsi" w:cstheme="minorHAnsi"/>
          <w:bCs/>
          <w:lang w:val="en-US" w:eastAsia="zh-TW"/>
        </w:rPr>
      </w:pPr>
    </w:p>
    <w:p w14:paraId="51D6FBFA" w14:textId="54E33D09" w:rsidR="00AC1901" w:rsidRDefault="00AC1901" w:rsidP="00AC1901">
      <w:pPr>
        <w:jc w:val="both"/>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I</w:t>
      </w:r>
      <w:r>
        <w:rPr>
          <w:rFonts w:asciiTheme="minorHAnsi" w:eastAsia="新細明體" w:hAnsiTheme="minorHAnsi" w:cstheme="minorHAnsi"/>
          <w:bCs/>
          <w:lang w:val="en-US" w:eastAsia="zh-TW"/>
        </w:rPr>
        <w:t>n our view, the activation delay is a new requirement, and it is very important to ensure</w:t>
      </w:r>
      <w:r w:rsidR="002C084C">
        <w:rPr>
          <w:rFonts w:asciiTheme="minorHAnsi" w:eastAsia="新細明體" w:hAnsiTheme="minorHAnsi" w:cstheme="minorHAnsi"/>
          <w:bCs/>
          <w:lang w:val="en-US" w:eastAsia="zh-TW"/>
        </w:rPr>
        <w:t xml:space="preserve"> that</w:t>
      </w:r>
      <w:r>
        <w:rPr>
          <w:rFonts w:asciiTheme="minorHAnsi" w:eastAsia="新細明體" w:hAnsiTheme="minorHAnsi" w:cstheme="minorHAnsi"/>
          <w:bCs/>
          <w:lang w:val="en-US" w:eastAsia="zh-TW"/>
        </w:rPr>
        <w:t xml:space="preserve"> UE is following the core requirement to activate/de-activate Pre-MG. So that UE will not miss the DL scheduling when the Pre-MG is OFF or try to transmit any UL signal</w:t>
      </w:r>
      <w:r w:rsidR="002C084C">
        <w:rPr>
          <w:rFonts w:asciiTheme="minorHAnsi" w:eastAsia="新細明體" w:hAnsiTheme="minorHAnsi" w:cstheme="minorHAnsi"/>
          <w:bCs/>
          <w:lang w:val="en-US" w:eastAsia="zh-TW"/>
        </w:rPr>
        <w:t>s</w:t>
      </w:r>
      <w:r>
        <w:rPr>
          <w:rFonts w:asciiTheme="minorHAnsi" w:eastAsia="新細明體" w:hAnsiTheme="minorHAnsi" w:cstheme="minorHAnsi"/>
          <w:bCs/>
          <w:lang w:val="en-US" w:eastAsia="zh-TW"/>
        </w:rPr>
        <w:t xml:space="preserve"> when the Pre-MG is ON. Therefore, we suggest introducing test cases to verify the activation/deactivation delay, e.g., one for network-controlled mechanism and the other for UE autonomous mechanism.</w:t>
      </w:r>
    </w:p>
    <w:p w14:paraId="72B8C0E9" w14:textId="6F2198BD" w:rsidR="00AC1901" w:rsidRDefault="00AC1901" w:rsidP="002B5C51">
      <w:pPr>
        <w:pStyle w:val="Caption"/>
        <w:jc w:val="both"/>
        <w:rPr>
          <w:rFonts w:asciiTheme="minorHAnsi" w:eastAsia="新細明體" w:hAnsiTheme="minorHAnsi" w:cstheme="minorHAnsi"/>
          <w:bCs/>
          <w:lang w:val="en-US" w:eastAsia="zh-TW"/>
        </w:rPr>
      </w:pPr>
      <w:bookmarkStart w:id="12" w:name="_Ref101207105"/>
      <w:r>
        <w:t xml:space="preserve">Proposal </w:t>
      </w:r>
      <w:r>
        <w:fldChar w:fldCharType="begin"/>
      </w:r>
      <w:r>
        <w:instrText xml:space="preserve"> SEQ Proposal \* ARABIC </w:instrText>
      </w:r>
      <w:r>
        <w:fldChar w:fldCharType="separate"/>
      </w:r>
      <w:r w:rsidR="009D79EE">
        <w:rPr>
          <w:noProof/>
        </w:rPr>
        <w:t>2</w:t>
      </w:r>
      <w:r>
        <w:fldChar w:fldCharType="end"/>
      </w:r>
      <w:r>
        <w:t>: I</w:t>
      </w:r>
      <w:r w:rsidRPr="00AC1901">
        <w:t xml:space="preserve">ntroducing test cases to verify the </w:t>
      </w:r>
      <w:r>
        <w:t xml:space="preserve">Pre-MG </w:t>
      </w:r>
      <w:r w:rsidRPr="00AC1901">
        <w:t>activation/deactivation delay, e.g., one for network-controlled mechanism and the other for UE autonomous mechanism.</w:t>
      </w:r>
      <w:bookmarkEnd w:id="12"/>
    </w:p>
    <w:p w14:paraId="31DA6E68" w14:textId="77777777" w:rsidR="00AC1901" w:rsidRPr="00AC1901" w:rsidRDefault="00AC1901" w:rsidP="00AC1901">
      <w:pPr>
        <w:jc w:val="both"/>
        <w:rPr>
          <w:rFonts w:asciiTheme="minorHAnsi" w:eastAsia="新細明體" w:hAnsiTheme="minorHAnsi" w:cstheme="minorHAnsi"/>
          <w:bCs/>
          <w:lang w:val="en-US" w:eastAsia="zh-TW"/>
        </w:rPr>
      </w:pPr>
    </w:p>
    <w:p w14:paraId="56B700A0" w14:textId="3F8D7BFD" w:rsidR="00AC1901" w:rsidRDefault="00AC1901" w:rsidP="00AC1901">
      <w:pPr>
        <w:jc w:val="both"/>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R</w:t>
      </w:r>
      <w:r>
        <w:rPr>
          <w:rFonts w:asciiTheme="minorHAnsi" w:eastAsia="新細明體" w:hAnsiTheme="minorHAnsi" w:cstheme="minorHAnsi"/>
          <w:bCs/>
          <w:lang w:val="en-US" w:eastAsia="zh-TW"/>
        </w:rPr>
        <w:t xml:space="preserve">egarding L1 impact, only a simple clarification was introduced to clarify that the overlapping with Pre-MG is only valid when the Pre-MG is activated. In our view, there is no need to introduce a new test case to verify the UE behavior on L1 impact. </w:t>
      </w:r>
    </w:p>
    <w:p w14:paraId="053012D7" w14:textId="70531665" w:rsidR="00AC1901" w:rsidRDefault="00AC1901" w:rsidP="00AC1901">
      <w:pPr>
        <w:pStyle w:val="Caption"/>
        <w:rPr>
          <w:rFonts w:asciiTheme="minorHAnsi" w:eastAsia="新細明體" w:hAnsiTheme="minorHAnsi" w:cstheme="minorHAnsi"/>
          <w:bCs/>
          <w:lang w:val="en-US" w:eastAsia="zh-TW"/>
        </w:rPr>
      </w:pPr>
      <w:bookmarkStart w:id="13" w:name="_Ref101207107"/>
      <w:r>
        <w:t xml:space="preserve">Proposal </w:t>
      </w:r>
      <w:r>
        <w:fldChar w:fldCharType="begin"/>
      </w:r>
      <w:r>
        <w:instrText xml:space="preserve"> SEQ Proposal \* ARABIC </w:instrText>
      </w:r>
      <w:r>
        <w:fldChar w:fldCharType="separate"/>
      </w:r>
      <w:r w:rsidR="009D79EE">
        <w:rPr>
          <w:noProof/>
        </w:rPr>
        <w:t>3</w:t>
      </w:r>
      <w:r>
        <w:fldChar w:fldCharType="end"/>
      </w:r>
      <w:r>
        <w:t>: Do not introduce test case to verify UE behaviour regarding Pre-MG impact on L1 measurements.</w:t>
      </w:r>
      <w:bookmarkEnd w:id="13"/>
      <w:r>
        <w:t xml:space="preserve"> </w:t>
      </w:r>
    </w:p>
    <w:p w14:paraId="22E09662" w14:textId="77777777" w:rsidR="00AC1901" w:rsidRPr="00AC1901" w:rsidRDefault="00AC1901" w:rsidP="00AC1901">
      <w:pPr>
        <w:jc w:val="both"/>
        <w:rPr>
          <w:rFonts w:asciiTheme="minorHAnsi" w:eastAsia="新細明體" w:hAnsiTheme="minorHAnsi" w:cstheme="minorHAnsi"/>
          <w:bCs/>
          <w:lang w:val="en-US" w:eastAsia="zh-TW"/>
        </w:rPr>
      </w:pPr>
    </w:p>
    <w:p w14:paraId="59F61B3E" w14:textId="3A2EB498" w:rsidR="00CF5C64" w:rsidRDefault="00AC1901" w:rsidP="008C516C">
      <w:pPr>
        <w:jc w:val="both"/>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As for</w:t>
      </w:r>
      <w:r w:rsidR="00CF5C64">
        <w:rPr>
          <w:rFonts w:asciiTheme="minorHAnsi" w:eastAsia="新細明體" w:hAnsiTheme="minorHAnsi" w:cstheme="minorHAnsi"/>
          <w:bCs/>
          <w:lang w:val="en-US" w:eastAsia="zh-TW"/>
        </w:rPr>
        <w:t xml:space="preserve"> L3 measurement requirement, in our understanding, there is no new requirement introduced because UE is allowed to restart the measurement right after Pre-MG status change. </w:t>
      </w:r>
      <w:r>
        <w:rPr>
          <w:rFonts w:asciiTheme="minorHAnsi" w:eastAsia="新細明體" w:hAnsiTheme="minorHAnsi" w:cstheme="minorHAnsi"/>
          <w:bCs/>
          <w:lang w:val="en-US" w:eastAsia="zh-TW"/>
        </w:rPr>
        <w:t>Nevertheless, we have no strong view on whether to introduce a test case for L3 measurement delay</w:t>
      </w:r>
      <w:r w:rsidR="002C084C">
        <w:rPr>
          <w:rFonts w:asciiTheme="minorHAnsi" w:eastAsia="新細明體" w:hAnsiTheme="minorHAnsi" w:cstheme="minorHAnsi"/>
          <w:bCs/>
          <w:lang w:val="en-US" w:eastAsia="zh-TW"/>
        </w:rPr>
        <w:t xml:space="preserve">, because we know that one main intention to introduce Pre-MG is to allow a fast </w:t>
      </w:r>
      <w:r w:rsidR="001917E7">
        <w:rPr>
          <w:rFonts w:asciiTheme="minorHAnsi" w:eastAsia="新細明體" w:hAnsiTheme="minorHAnsi" w:cstheme="minorHAnsi"/>
          <w:bCs/>
          <w:lang w:val="en-US" w:eastAsia="zh-TW"/>
        </w:rPr>
        <w:t xml:space="preserve">switching between </w:t>
      </w:r>
      <w:r w:rsidR="002C084C">
        <w:rPr>
          <w:rFonts w:asciiTheme="minorHAnsi" w:eastAsia="新細明體" w:hAnsiTheme="minorHAnsi" w:cstheme="minorHAnsi"/>
          <w:bCs/>
          <w:lang w:val="en-US" w:eastAsia="zh-TW"/>
        </w:rPr>
        <w:t>SSB</w:t>
      </w:r>
      <w:r w:rsidR="001917E7">
        <w:rPr>
          <w:rFonts w:asciiTheme="minorHAnsi" w:eastAsia="新細明體" w:hAnsiTheme="minorHAnsi" w:cstheme="minorHAnsi"/>
          <w:bCs/>
          <w:lang w:val="en-US" w:eastAsia="zh-TW"/>
        </w:rPr>
        <w:t>-based</w:t>
      </w:r>
      <w:r w:rsidR="002C084C">
        <w:rPr>
          <w:rFonts w:asciiTheme="minorHAnsi" w:eastAsia="新細明體" w:hAnsiTheme="minorHAnsi" w:cstheme="minorHAnsi"/>
          <w:bCs/>
          <w:lang w:val="en-US" w:eastAsia="zh-TW"/>
        </w:rPr>
        <w:t xml:space="preserve"> </w:t>
      </w:r>
      <w:r w:rsidR="001917E7">
        <w:rPr>
          <w:rFonts w:asciiTheme="minorHAnsi" w:eastAsia="新細明體" w:hAnsiTheme="minorHAnsi" w:cstheme="minorHAnsi"/>
          <w:bCs/>
          <w:lang w:val="en-US" w:eastAsia="zh-TW"/>
        </w:rPr>
        <w:t>measurement with gap and without gap.</w:t>
      </w:r>
      <w:r>
        <w:rPr>
          <w:rFonts w:asciiTheme="minorHAnsi" w:eastAsia="新細明體" w:hAnsiTheme="minorHAnsi" w:cstheme="minorHAnsi"/>
          <w:bCs/>
          <w:lang w:val="en-US" w:eastAsia="zh-TW"/>
        </w:rPr>
        <w:t xml:space="preserve"> The only preference we have is to control total number of test cases. </w:t>
      </w:r>
      <w:r w:rsidR="008C516C">
        <w:rPr>
          <w:rFonts w:asciiTheme="minorHAnsi" w:eastAsia="新細明體" w:hAnsiTheme="minorHAnsi" w:cstheme="minorHAnsi"/>
          <w:bCs/>
          <w:lang w:val="en-US" w:eastAsia="zh-TW"/>
        </w:rPr>
        <w:t>I</w:t>
      </w:r>
      <w:r>
        <w:rPr>
          <w:rFonts w:asciiTheme="minorHAnsi" w:eastAsia="新細明體" w:hAnsiTheme="minorHAnsi" w:cstheme="minorHAnsi"/>
          <w:bCs/>
          <w:lang w:val="en-US" w:eastAsia="zh-TW"/>
        </w:rPr>
        <w:t xml:space="preserve">f RAN4 agrees to introduce test cases for L3 measurement delay, </w:t>
      </w:r>
      <w:r w:rsidRPr="00AC1901">
        <w:rPr>
          <w:rFonts w:asciiTheme="minorHAnsi" w:eastAsia="新細明體" w:hAnsiTheme="minorHAnsi" w:cstheme="minorHAnsi"/>
          <w:bCs/>
          <w:lang w:val="en-US" w:eastAsia="zh-TW"/>
        </w:rPr>
        <w:t>the Pre-MG activation/deactivation delay</w:t>
      </w:r>
      <w:r>
        <w:rPr>
          <w:rFonts w:asciiTheme="minorHAnsi" w:eastAsia="新細明體" w:hAnsiTheme="minorHAnsi" w:cstheme="minorHAnsi"/>
          <w:bCs/>
          <w:lang w:val="en-US" w:eastAsia="zh-TW"/>
        </w:rPr>
        <w:t xml:space="preserve"> </w:t>
      </w:r>
      <w:r w:rsidR="008C516C">
        <w:rPr>
          <w:rFonts w:asciiTheme="minorHAnsi" w:eastAsia="新細明體" w:hAnsiTheme="minorHAnsi" w:cstheme="minorHAnsi"/>
          <w:bCs/>
          <w:lang w:val="en-US" w:eastAsia="zh-TW"/>
        </w:rPr>
        <w:t>can also</w:t>
      </w:r>
      <w:r>
        <w:rPr>
          <w:rFonts w:asciiTheme="minorHAnsi" w:eastAsia="新細明體" w:hAnsiTheme="minorHAnsi" w:cstheme="minorHAnsi"/>
          <w:bCs/>
          <w:lang w:val="en-US" w:eastAsia="zh-TW"/>
        </w:rPr>
        <w:t xml:space="preserve"> be verified within the same test cases. </w:t>
      </w:r>
      <w:r w:rsidR="008C516C">
        <w:rPr>
          <w:rFonts w:asciiTheme="minorHAnsi" w:eastAsia="新細明體" w:hAnsiTheme="minorHAnsi" w:cstheme="minorHAnsi"/>
          <w:bCs/>
          <w:lang w:val="en-US" w:eastAsia="zh-TW"/>
        </w:rPr>
        <w:t>In other words, the test case in signaling characteristic to only check the activation/de-activation delay will be redundant.</w:t>
      </w:r>
    </w:p>
    <w:p w14:paraId="2BAB5B80" w14:textId="5E7DF244" w:rsidR="00961112" w:rsidRDefault="00961112" w:rsidP="002B5C51">
      <w:pPr>
        <w:pStyle w:val="Caption"/>
        <w:jc w:val="both"/>
        <w:rPr>
          <w:rFonts w:asciiTheme="minorHAnsi" w:eastAsia="新細明體" w:hAnsiTheme="minorHAnsi" w:cstheme="minorHAnsi"/>
          <w:bCs/>
          <w:lang w:val="en-US" w:eastAsia="zh-TW"/>
        </w:rPr>
      </w:pPr>
      <w:bookmarkStart w:id="14" w:name="_Ref101207188"/>
      <w:r>
        <w:t xml:space="preserve">Proposal </w:t>
      </w:r>
      <w:r>
        <w:fldChar w:fldCharType="begin"/>
      </w:r>
      <w:r>
        <w:instrText xml:space="preserve"> SEQ Proposal \* ARABIC </w:instrText>
      </w:r>
      <w:r>
        <w:fldChar w:fldCharType="separate"/>
      </w:r>
      <w:r w:rsidR="009D79EE">
        <w:rPr>
          <w:noProof/>
        </w:rPr>
        <w:t>4</w:t>
      </w:r>
      <w:r>
        <w:fldChar w:fldCharType="end"/>
      </w:r>
      <w:r>
        <w:t xml:space="preserve">: If RAN4 </w:t>
      </w:r>
      <w:r w:rsidRPr="008C516C">
        <w:t>agrees to introduce Pre-MG test cases for L3 measurement delay</w:t>
      </w:r>
      <w:r>
        <w:t xml:space="preserve">, </w:t>
      </w:r>
      <w:r w:rsidRPr="008C516C">
        <w:t>the Pre-MG activation/deactivation delay can also be verified within the test cases</w:t>
      </w:r>
      <w:r>
        <w:t xml:space="preserve">. There is no need to additionally introduce test cases </w:t>
      </w:r>
      <w:r w:rsidRPr="008C516C">
        <w:t xml:space="preserve">in signalling characteristic to </w:t>
      </w:r>
      <w:r>
        <w:t>only</w:t>
      </w:r>
      <w:r w:rsidRPr="008C516C">
        <w:t xml:space="preserve"> check the activation/de-activation delay</w:t>
      </w:r>
      <w:r>
        <w:t>.</w:t>
      </w:r>
      <w:bookmarkEnd w:id="14"/>
      <w:r>
        <w:t xml:space="preserve"> </w:t>
      </w:r>
    </w:p>
    <w:p w14:paraId="640AA91D" w14:textId="23180540" w:rsidR="008C516C" w:rsidRDefault="008C516C" w:rsidP="008C516C">
      <w:pPr>
        <w:jc w:val="both"/>
        <w:rPr>
          <w:rFonts w:asciiTheme="minorHAnsi" w:eastAsia="新細明體" w:hAnsiTheme="minorHAnsi" w:cstheme="minorHAnsi"/>
          <w:bCs/>
          <w:lang w:val="en-US" w:eastAsia="zh-TW"/>
        </w:rPr>
      </w:pPr>
    </w:p>
    <w:p w14:paraId="6B8E2B4F" w14:textId="4354D2C6" w:rsidR="00AA4080" w:rsidRDefault="00AA4080" w:rsidP="008C516C">
      <w:pPr>
        <w:jc w:val="both"/>
        <w:rPr>
          <w:rFonts w:asciiTheme="minorHAnsi" w:eastAsia="新細明體" w:hAnsiTheme="minorHAnsi" w:cstheme="minorHAnsi"/>
          <w:bCs/>
          <w:lang w:val="en-US" w:eastAsia="zh-TW"/>
        </w:rPr>
      </w:pPr>
      <w:r>
        <w:rPr>
          <w:rFonts w:asciiTheme="minorHAnsi" w:eastAsia="新細明體" w:hAnsiTheme="minorHAnsi" w:cstheme="minorHAnsi"/>
          <w:bCs/>
          <w:lang w:val="en-US" w:eastAsia="zh-TW"/>
        </w:rPr>
        <w:t xml:space="preserve">Regarding the triggering </w:t>
      </w:r>
      <w:r w:rsidR="000E2973">
        <w:rPr>
          <w:rFonts w:asciiTheme="minorHAnsi" w:eastAsia="新細明體" w:hAnsiTheme="minorHAnsi" w:cstheme="minorHAnsi"/>
          <w:bCs/>
          <w:lang w:val="en-US" w:eastAsia="zh-TW"/>
        </w:rPr>
        <w:t>events</w:t>
      </w:r>
      <w:r>
        <w:rPr>
          <w:rFonts w:asciiTheme="minorHAnsi" w:eastAsia="新細明體" w:hAnsiTheme="minorHAnsi" w:cstheme="minorHAnsi"/>
          <w:bCs/>
          <w:lang w:val="en-US" w:eastAsia="zh-TW"/>
        </w:rPr>
        <w:t>, although there are multiple triggering events agreed in the core part, we do not think all events needs to be tested in the performance part. Since BWP switch is the main use case (as mentioned in the WID), we think it is fine to only cover the DCI-based BWP switch as the only triggering event in the test cases.</w:t>
      </w:r>
    </w:p>
    <w:p w14:paraId="6340FF04" w14:textId="47AC5896" w:rsidR="00961112" w:rsidRDefault="00961112" w:rsidP="00961112">
      <w:pPr>
        <w:pStyle w:val="Caption"/>
        <w:rPr>
          <w:rFonts w:asciiTheme="minorHAnsi" w:eastAsia="新細明體" w:hAnsiTheme="minorHAnsi" w:cstheme="minorHAnsi"/>
          <w:bCs/>
          <w:lang w:val="en-US" w:eastAsia="zh-TW"/>
        </w:rPr>
      </w:pPr>
      <w:bookmarkStart w:id="15" w:name="_Ref101207189"/>
      <w:r>
        <w:t xml:space="preserve">Proposal </w:t>
      </w:r>
      <w:r>
        <w:fldChar w:fldCharType="begin"/>
      </w:r>
      <w:r>
        <w:instrText xml:space="preserve"> SEQ Proposal \* ARABIC </w:instrText>
      </w:r>
      <w:r>
        <w:fldChar w:fldCharType="separate"/>
      </w:r>
      <w:r w:rsidR="009D79EE">
        <w:rPr>
          <w:noProof/>
        </w:rPr>
        <w:t>5</w:t>
      </w:r>
      <w:r>
        <w:fldChar w:fldCharType="end"/>
      </w:r>
      <w:r>
        <w:t>: Adopt t</w:t>
      </w:r>
      <w:r w:rsidRPr="00AA4080">
        <w:t xml:space="preserve">he DCI-based BWP switch as the only triggering </w:t>
      </w:r>
      <w:r>
        <w:t>event</w:t>
      </w:r>
      <w:r w:rsidRPr="00AA4080">
        <w:t xml:space="preserve"> in the test cases</w:t>
      </w:r>
      <w:r>
        <w:t>.</w:t>
      </w:r>
      <w:bookmarkEnd w:id="15"/>
      <w:r>
        <w:t xml:space="preserve"> </w:t>
      </w:r>
    </w:p>
    <w:p w14:paraId="7F89467A" w14:textId="77777777" w:rsidR="00CF5C64" w:rsidRDefault="00CF5C64" w:rsidP="00CE5754">
      <w:pPr>
        <w:rPr>
          <w:rFonts w:asciiTheme="minorHAnsi" w:eastAsia="新細明體" w:hAnsiTheme="minorHAnsi" w:cstheme="minorHAnsi"/>
          <w:bCs/>
          <w:lang w:val="en-US" w:eastAsia="zh-TW"/>
        </w:rPr>
      </w:pPr>
    </w:p>
    <w:bookmarkEnd w:id="6"/>
    <w:bookmarkEnd w:id="8"/>
    <w:p w14:paraId="12D1BD77" w14:textId="77777777"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Conclusion</w:t>
      </w:r>
    </w:p>
    <w:p w14:paraId="135E40C5" w14:textId="18F0569C" w:rsidR="00201B00" w:rsidRDefault="00085372" w:rsidP="00201B00">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BF470E" w:rsidRPr="00D0667E">
        <w:rPr>
          <w:rFonts w:ascii="Calibri" w:eastAsiaTheme="minorEastAsia" w:hAnsi="Calibri" w:cs="Calibri"/>
          <w:lang w:val="en-US" w:eastAsia="zh-CN"/>
        </w:rPr>
        <w:t xml:space="preserve">we discuss </w:t>
      </w:r>
      <w:r w:rsidR="00961112">
        <w:rPr>
          <w:rFonts w:ascii="Calibri" w:eastAsiaTheme="minorEastAsia" w:hAnsi="Calibri" w:cs="Calibri"/>
          <w:lang w:val="en-US" w:eastAsia="zh-CN"/>
        </w:rPr>
        <w:t>test case scope for Pre-MG. We have the following observations and proposals</w:t>
      </w:r>
    </w:p>
    <w:p w14:paraId="678C1A5D" w14:textId="2999D323" w:rsidR="00961112" w:rsidRPr="00961112" w:rsidRDefault="00961112" w:rsidP="00201B00">
      <w:pPr>
        <w:jc w:val="both"/>
        <w:rPr>
          <w:rFonts w:eastAsia="SimSun"/>
          <w:b/>
        </w:rPr>
      </w:pPr>
      <w:r w:rsidRPr="00961112">
        <w:rPr>
          <w:rFonts w:eastAsia="SimSun"/>
          <w:b/>
        </w:rPr>
        <w:fldChar w:fldCharType="begin"/>
      </w:r>
      <w:r>
        <w:rPr>
          <w:rFonts w:eastAsia="SimSun"/>
          <w:b/>
        </w:rPr>
        <w:instrText xml:space="preserve"> REF _Ref101207101 \h  \* MERGEFORMAT </w:instrText>
      </w:r>
      <w:r w:rsidRPr="00961112">
        <w:rPr>
          <w:rFonts w:eastAsia="SimSun"/>
          <w:b/>
        </w:rPr>
      </w:r>
      <w:r w:rsidRPr="00961112">
        <w:rPr>
          <w:rFonts w:eastAsia="SimSun"/>
          <w:b/>
        </w:rPr>
        <w:fldChar w:fldCharType="separate"/>
      </w:r>
      <w:r w:rsidR="009D79EE" w:rsidRPr="009D79EE">
        <w:rPr>
          <w:rFonts w:eastAsia="SimSun"/>
          <w:b/>
        </w:rPr>
        <w:t xml:space="preserve">Observation 1: The test case scope for Pre-MG should target to cover the following 3 main functionalities: 1) Two activation/deactivation mechanisms, 2) </w:t>
      </w:r>
      <w:r w:rsidR="009D79EE" w:rsidRPr="009D79EE">
        <w:rPr>
          <w:rFonts w:eastAsia="SimSun" w:hint="eastAsia"/>
          <w:b/>
        </w:rPr>
        <w:t>A</w:t>
      </w:r>
      <w:r w:rsidR="009D79EE" w:rsidRPr="009D79EE">
        <w:rPr>
          <w:rFonts w:eastAsia="SimSun"/>
          <w:b/>
        </w:rPr>
        <w:t xml:space="preserve">dditional delay for pre-configured MG activation/deactivation and 3) </w:t>
      </w:r>
      <w:r w:rsidR="009D79EE" w:rsidRPr="009D79EE">
        <w:rPr>
          <w:rFonts w:eastAsia="SimSun" w:hint="eastAsia"/>
          <w:b/>
        </w:rPr>
        <w:t>U</w:t>
      </w:r>
      <w:r w:rsidR="009D79EE" w:rsidRPr="009D79EE">
        <w:rPr>
          <w:rFonts w:eastAsia="SimSun"/>
          <w:b/>
        </w:rPr>
        <w:t>pdated UE requirements.</w:t>
      </w:r>
      <w:r w:rsidRPr="00961112">
        <w:rPr>
          <w:rFonts w:eastAsia="SimSun"/>
          <w:b/>
        </w:rPr>
        <w:fldChar w:fldCharType="end"/>
      </w:r>
    </w:p>
    <w:p w14:paraId="104FB625" w14:textId="40FBBC81" w:rsidR="00961112" w:rsidRPr="00961112" w:rsidRDefault="00961112" w:rsidP="00201B00">
      <w:pPr>
        <w:jc w:val="both"/>
        <w:rPr>
          <w:rFonts w:eastAsia="SimSun"/>
          <w:b/>
        </w:rPr>
      </w:pPr>
      <w:r w:rsidRPr="00961112">
        <w:rPr>
          <w:rFonts w:eastAsia="SimSun"/>
          <w:b/>
        </w:rPr>
        <w:fldChar w:fldCharType="begin"/>
      </w:r>
      <w:r w:rsidRPr="00961112">
        <w:rPr>
          <w:rFonts w:eastAsia="SimSun"/>
          <w:b/>
        </w:rPr>
        <w:instrText xml:space="preserve"> REF _Ref101207104 \h </w:instrText>
      </w:r>
      <w:r>
        <w:rPr>
          <w:rFonts w:eastAsia="SimSun"/>
          <w:b/>
        </w:rPr>
        <w:instrText xml:space="preserve"> \* MERGEFORMAT </w:instrText>
      </w:r>
      <w:r w:rsidRPr="00961112">
        <w:rPr>
          <w:rFonts w:eastAsia="SimSun"/>
          <w:b/>
        </w:rPr>
      </w:r>
      <w:r w:rsidRPr="00961112">
        <w:rPr>
          <w:rFonts w:eastAsia="SimSun"/>
          <w:b/>
        </w:rPr>
        <w:fldChar w:fldCharType="separate"/>
      </w:r>
      <w:r w:rsidR="009D79EE" w:rsidRPr="009D79EE">
        <w:rPr>
          <w:rFonts w:eastAsia="SimSun"/>
          <w:b/>
        </w:rPr>
        <w:t>Proposal 1: The Pre-MG test cases should also be limited to NR-SA, i.e., Section A.6 and A.7, while Section A.3 can also be updated to capture new configurations if needed.</w:t>
      </w:r>
      <w:r w:rsidRPr="00961112">
        <w:rPr>
          <w:rFonts w:eastAsia="SimSun"/>
          <w:b/>
        </w:rPr>
        <w:fldChar w:fldCharType="end"/>
      </w:r>
    </w:p>
    <w:p w14:paraId="18AAAD07" w14:textId="2889E8E5" w:rsidR="00961112" w:rsidRPr="00961112" w:rsidRDefault="00961112" w:rsidP="00201B00">
      <w:pPr>
        <w:jc w:val="both"/>
        <w:rPr>
          <w:rFonts w:eastAsia="SimSun"/>
          <w:b/>
        </w:rPr>
      </w:pPr>
      <w:r w:rsidRPr="00961112">
        <w:rPr>
          <w:rFonts w:eastAsia="SimSun"/>
          <w:b/>
        </w:rPr>
        <w:fldChar w:fldCharType="begin"/>
      </w:r>
      <w:r w:rsidRPr="00961112">
        <w:rPr>
          <w:rFonts w:eastAsia="SimSun"/>
          <w:b/>
        </w:rPr>
        <w:instrText xml:space="preserve"> REF _Ref101207105 \h </w:instrText>
      </w:r>
      <w:r>
        <w:rPr>
          <w:rFonts w:eastAsia="SimSun"/>
          <w:b/>
        </w:rPr>
        <w:instrText xml:space="preserve"> \* MERGEFORMAT </w:instrText>
      </w:r>
      <w:r w:rsidRPr="00961112">
        <w:rPr>
          <w:rFonts w:eastAsia="SimSun"/>
          <w:b/>
        </w:rPr>
      </w:r>
      <w:r w:rsidRPr="00961112">
        <w:rPr>
          <w:rFonts w:eastAsia="SimSun"/>
          <w:b/>
        </w:rPr>
        <w:fldChar w:fldCharType="separate"/>
      </w:r>
      <w:r w:rsidR="009D79EE" w:rsidRPr="009D79EE">
        <w:rPr>
          <w:rFonts w:eastAsia="SimSun"/>
          <w:b/>
        </w:rPr>
        <w:t>Proposal 2: Introducing test cases to verify the Pre-MG activation/deactivation delay, e.g., one for network-controlled mechanism and the other for UE autonomous mechanism.</w:t>
      </w:r>
      <w:r w:rsidRPr="00961112">
        <w:rPr>
          <w:rFonts w:eastAsia="SimSun"/>
          <w:b/>
        </w:rPr>
        <w:fldChar w:fldCharType="end"/>
      </w:r>
    </w:p>
    <w:p w14:paraId="75B4B0E3" w14:textId="398E79D6" w:rsidR="004F5DBD" w:rsidRDefault="00961112" w:rsidP="00664488">
      <w:pPr>
        <w:jc w:val="both"/>
        <w:rPr>
          <w:rFonts w:eastAsia="SimSun"/>
          <w:b/>
        </w:rPr>
      </w:pPr>
      <w:r w:rsidRPr="00961112">
        <w:rPr>
          <w:rFonts w:eastAsia="SimSun"/>
          <w:b/>
        </w:rPr>
        <w:fldChar w:fldCharType="begin"/>
      </w:r>
      <w:r w:rsidRPr="00961112">
        <w:rPr>
          <w:rFonts w:eastAsia="SimSun"/>
          <w:b/>
        </w:rPr>
        <w:instrText xml:space="preserve"> REF _Ref101207107 \h </w:instrText>
      </w:r>
      <w:r>
        <w:rPr>
          <w:rFonts w:eastAsia="SimSun"/>
          <w:b/>
        </w:rPr>
        <w:instrText xml:space="preserve"> \* MERGEFORMAT </w:instrText>
      </w:r>
      <w:r w:rsidRPr="00961112">
        <w:rPr>
          <w:rFonts w:eastAsia="SimSun"/>
          <w:b/>
        </w:rPr>
      </w:r>
      <w:r w:rsidRPr="00961112">
        <w:rPr>
          <w:rFonts w:eastAsia="SimSun"/>
          <w:b/>
        </w:rPr>
        <w:fldChar w:fldCharType="separate"/>
      </w:r>
      <w:r w:rsidR="009D79EE" w:rsidRPr="009D79EE">
        <w:rPr>
          <w:rFonts w:eastAsia="SimSun"/>
          <w:b/>
        </w:rPr>
        <w:t>Proposal 3: Do not introduce test case to verify UE behaviour regarding Pre-MG impact on L1 measurements.</w:t>
      </w:r>
      <w:r w:rsidRPr="00961112">
        <w:rPr>
          <w:rFonts w:eastAsia="SimSun"/>
          <w:b/>
        </w:rPr>
        <w:fldChar w:fldCharType="end"/>
      </w:r>
    </w:p>
    <w:p w14:paraId="1656A5C8" w14:textId="73FA4562" w:rsidR="00961112" w:rsidRDefault="00961112" w:rsidP="00664488">
      <w:pPr>
        <w:jc w:val="both"/>
        <w:rPr>
          <w:rFonts w:eastAsia="SimSun"/>
          <w:b/>
        </w:rPr>
      </w:pPr>
      <w:r>
        <w:rPr>
          <w:rFonts w:eastAsia="SimSun"/>
          <w:b/>
        </w:rPr>
        <w:fldChar w:fldCharType="begin"/>
      </w:r>
      <w:r>
        <w:rPr>
          <w:rFonts w:eastAsia="SimSun"/>
          <w:b/>
        </w:rPr>
        <w:instrText xml:space="preserve"> REF _Ref101207188 \h  \* MERGEFORMAT </w:instrText>
      </w:r>
      <w:r>
        <w:rPr>
          <w:rFonts w:eastAsia="SimSun"/>
          <w:b/>
        </w:rPr>
      </w:r>
      <w:r>
        <w:rPr>
          <w:rFonts w:eastAsia="SimSun"/>
          <w:b/>
        </w:rPr>
        <w:fldChar w:fldCharType="separate"/>
      </w:r>
      <w:r w:rsidR="009D79EE" w:rsidRPr="009D79EE">
        <w:rPr>
          <w:rFonts w:eastAsia="SimSun"/>
          <w:b/>
        </w:rPr>
        <w:t>Proposal 4: If RAN4 agrees to introduce Pre-MG test cases for L3 measurement delay, the Pre-MG activation/deactivation delay can also be verified within the test cases. There is no need to additionally introduce test cases in signalling characteristic to only check the activation/de-activation delay.</w:t>
      </w:r>
      <w:r>
        <w:rPr>
          <w:rFonts w:eastAsia="SimSun"/>
          <w:b/>
        </w:rPr>
        <w:fldChar w:fldCharType="end"/>
      </w:r>
    </w:p>
    <w:p w14:paraId="085F5815" w14:textId="07706B2C" w:rsidR="00961112" w:rsidRPr="00CC2696" w:rsidRDefault="00961112" w:rsidP="00664488">
      <w:pPr>
        <w:jc w:val="both"/>
        <w:rPr>
          <w:rFonts w:eastAsia="SimSun"/>
          <w:b/>
        </w:rPr>
      </w:pPr>
      <w:r>
        <w:rPr>
          <w:rFonts w:eastAsia="SimSun"/>
          <w:b/>
        </w:rPr>
        <w:fldChar w:fldCharType="begin"/>
      </w:r>
      <w:r>
        <w:rPr>
          <w:rFonts w:eastAsia="SimSun"/>
          <w:b/>
        </w:rPr>
        <w:instrText xml:space="preserve"> REF _Ref101207189 \h  \* MERGEFORMAT </w:instrText>
      </w:r>
      <w:r>
        <w:rPr>
          <w:rFonts w:eastAsia="SimSun"/>
          <w:b/>
        </w:rPr>
      </w:r>
      <w:r>
        <w:rPr>
          <w:rFonts w:eastAsia="SimSun"/>
          <w:b/>
        </w:rPr>
        <w:fldChar w:fldCharType="separate"/>
      </w:r>
      <w:r w:rsidR="009D79EE" w:rsidRPr="009D79EE">
        <w:rPr>
          <w:rFonts w:eastAsia="SimSun"/>
          <w:b/>
        </w:rPr>
        <w:t>Proposal 5: Adopt the DCI-based BWP switch as the only triggering event in the test cases.</w:t>
      </w:r>
      <w:r>
        <w:rPr>
          <w:rFonts w:eastAsia="SimSun"/>
          <w:b/>
        </w:rPr>
        <w:fldChar w:fldCharType="end"/>
      </w:r>
    </w:p>
    <w:p w14:paraId="7E7E3A6E" w14:textId="77777777"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lastRenderedPageBreak/>
        <w:t>Reference</w:t>
      </w:r>
    </w:p>
    <w:p w14:paraId="4387E796" w14:textId="28E8A32D" w:rsidR="00473112" w:rsidRPr="00C14642" w:rsidRDefault="00E635B7">
      <w:pPr>
        <w:tabs>
          <w:tab w:val="left" w:pos="1985"/>
        </w:tabs>
        <w:jc w:val="both"/>
        <w:rPr>
          <w:rFonts w:ascii="Calibri" w:eastAsia="Malgun Gothic" w:hAnsi="Calibri" w:cs="Calibri"/>
        </w:rPr>
      </w:pPr>
      <w:r w:rsidRPr="00473112">
        <w:rPr>
          <w:rFonts w:ascii="Calibri" w:hAnsi="Calibri" w:cs="Calibri"/>
        </w:rPr>
        <w:t>[1]</w:t>
      </w:r>
      <w:r w:rsidR="008C13DE" w:rsidRPr="00473112">
        <w:rPr>
          <w:rFonts w:ascii="Calibri" w:hAnsi="Calibri" w:cs="Calibri"/>
        </w:rPr>
        <w:t xml:space="preserve"> </w:t>
      </w:r>
      <w:r w:rsidR="00322531" w:rsidRPr="00322531">
        <w:rPr>
          <w:rFonts w:ascii="Calibri" w:hAnsi="Calibri" w:cs="Calibri"/>
        </w:rPr>
        <w:t>R</w:t>
      </w:r>
      <w:r w:rsidR="00201B00">
        <w:rPr>
          <w:rFonts w:ascii="Calibri" w:hAnsi="Calibri" w:cs="Calibri"/>
        </w:rPr>
        <w:t>P-220752</w:t>
      </w:r>
      <w:r w:rsidR="00BA3039">
        <w:rPr>
          <w:rFonts w:ascii="Calibri" w:hAnsi="Calibri" w:cs="Calibri"/>
        </w:rPr>
        <w:t>, “</w:t>
      </w:r>
      <w:r w:rsidR="00201B00" w:rsidRPr="00201B00">
        <w:rPr>
          <w:rFonts w:ascii="Calibri" w:hAnsi="Calibri" w:cs="Calibri"/>
        </w:rPr>
        <w:t>Summary for WI NR and MR-DC measurement gap enhancements</w:t>
      </w:r>
      <w:r w:rsidR="00BA3039">
        <w:rPr>
          <w:rFonts w:ascii="Calibri" w:hAnsi="Calibri" w:cs="Calibri"/>
        </w:rPr>
        <w:t xml:space="preserve">”, </w:t>
      </w:r>
      <w:r w:rsidR="00201B00" w:rsidRPr="00201B00">
        <w:rPr>
          <w:rFonts w:ascii="Calibri" w:hAnsi="Calibri" w:cs="Calibri"/>
        </w:rPr>
        <w:t>MediaTek inc., Intel Corporation</w:t>
      </w:r>
    </w:p>
    <w:sectPr w:rsidR="00473112" w:rsidRPr="00C1464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17846" w14:textId="77777777" w:rsidR="006E5A66" w:rsidRDefault="006E5A66" w:rsidP="008B46F2">
      <w:pPr>
        <w:spacing w:after="0"/>
      </w:pPr>
      <w:r>
        <w:separator/>
      </w:r>
    </w:p>
  </w:endnote>
  <w:endnote w:type="continuationSeparator" w:id="0">
    <w:p w14:paraId="30D2D26E" w14:textId="77777777" w:rsidR="006E5A66" w:rsidRDefault="006E5A6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BC0F" w14:textId="77777777" w:rsidR="006E5A66" w:rsidRDefault="006E5A66" w:rsidP="008B46F2">
      <w:pPr>
        <w:spacing w:after="0"/>
      </w:pPr>
      <w:r>
        <w:separator/>
      </w:r>
    </w:p>
  </w:footnote>
  <w:footnote w:type="continuationSeparator" w:id="0">
    <w:p w14:paraId="47ED3822" w14:textId="77777777" w:rsidR="006E5A66" w:rsidRDefault="006E5A66"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669E"/>
    <w:multiLevelType w:val="hybridMultilevel"/>
    <w:tmpl w:val="0D363564"/>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F689C"/>
    <w:multiLevelType w:val="multilevel"/>
    <w:tmpl w:val="D63EB24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404CF8"/>
    <w:multiLevelType w:val="hybridMultilevel"/>
    <w:tmpl w:val="2D2E907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514077E"/>
    <w:multiLevelType w:val="hybridMultilevel"/>
    <w:tmpl w:val="1812E91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C15745"/>
    <w:multiLevelType w:val="hybridMultilevel"/>
    <w:tmpl w:val="66D8D2AE"/>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EE92250"/>
    <w:multiLevelType w:val="hybridMultilevel"/>
    <w:tmpl w:val="18C467C2"/>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5AA44C7"/>
    <w:multiLevelType w:val="hybridMultilevel"/>
    <w:tmpl w:val="77B4B99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F1FBA"/>
    <w:multiLevelType w:val="hybridMultilevel"/>
    <w:tmpl w:val="A51E2136"/>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1B">
      <w:start w:val="1"/>
      <w:numFmt w:val="lowerRoman"/>
      <w:lvlText w:val="%3."/>
      <w:lvlJc w:val="right"/>
      <w:pPr>
        <w:ind w:left="1440" w:hanging="480"/>
      </w:pPr>
    </w:lvl>
    <w:lvl w:ilvl="3" w:tplc="04090005">
      <w:start w:val="1"/>
      <w:numFmt w:val="bullet"/>
      <w:lvlText w:val=""/>
      <w:lvlJc w:val="left"/>
      <w:pPr>
        <w:ind w:left="1920" w:hanging="480"/>
      </w:pPr>
      <w:rPr>
        <w:rFonts w:ascii="Wingdings" w:hAnsi="Wingdings" w:hint="default"/>
      </w:rPr>
    </w:lvl>
    <w:lvl w:ilvl="4" w:tplc="04090001">
      <w:start w:val="1"/>
      <w:numFmt w:val="bullet"/>
      <w:lvlText w:val=""/>
      <w:lvlJc w:val="left"/>
      <w:pPr>
        <w:ind w:left="2400" w:hanging="480"/>
      </w:pPr>
      <w:rPr>
        <w:rFonts w:ascii="Symbol" w:hAnsi="Symbol"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6B46AA"/>
    <w:multiLevelType w:val="hybridMultilevel"/>
    <w:tmpl w:val="7A941068"/>
    <w:lvl w:ilvl="0" w:tplc="04090011">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1BB36599"/>
    <w:multiLevelType w:val="hybridMultilevel"/>
    <w:tmpl w:val="C7DCC2B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E035B5"/>
    <w:multiLevelType w:val="hybridMultilevel"/>
    <w:tmpl w:val="28D6F5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03634E"/>
    <w:multiLevelType w:val="multilevel"/>
    <w:tmpl w:val="320363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D70A35"/>
    <w:multiLevelType w:val="hybridMultilevel"/>
    <w:tmpl w:val="6BE486F0"/>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35512"/>
    <w:multiLevelType w:val="hybridMultilevel"/>
    <w:tmpl w:val="A816DC6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E4D6317"/>
    <w:multiLevelType w:val="hybridMultilevel"/>
    <w:tmpl w:val="4AD4172E"/>
    <w:lvl w:ilvl="0" w:tplc="04090005">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3FF96F26"/>
    <w:multiLevelType w:val="hybridMultilevel"/>
    <w:tmpl w:val="AC3286FE"/>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5" w15:restartNumberingAfterBreak="0">
    <w:nsid w:val="47107AE0"/>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49DD71CE"/>
    <w:multiLevelType w:val="hybridMultilevel"/>
    <w:tmpl w:val="6A64E322"/>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DA44281"/>
    <w:multiLevelType w:val="multilevel"/>
    <w:tmpl w:val="4DA44281"/>
    <w:lvl w:ilvl="0">
      <w:start w:val="1"/>
      <w:numFmt w:val="decimal"/>
      <w:pStyle w:val="RAN4Proposal"/>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262C3B"/>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626754FB"/>
    <w:multiLevelType w:val="hybridMultilevel"/>
    <w:tmpl w:val="3972461E"/>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B0B66"/>
    <w:multiLevelType w:val="hybridMultilevel"/>
    <w:tmpl w:val="EBD01BE8"/>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6F932DE0"/>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A516B0"/>
    <w:multiLevelType w:val="hybridMultilevel"/>
    <w:tmpl w:val="4066F1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
  </w:num>
  <w:num w:numId="2">
    <w:abstractNumId w:val="1"/>
  </w:num>
  <w:num w:numId="3">
    <w:abstractNumId w:val="32"/>
  </w:num>
  <w:num w:numId="4">
    <w:abstractNumId w:val="8"/>
  </w:num>
  <w:num w:numId="5">
    <w:abstractNumId w:val="14"/>
  </w:num>
  <w:num w:numId="6">
    <w:abstractNumId w:val="27"/>
  </w:num>
  <w:num w:numId="7">
    <w:abstractNumId w:val="28"/>
  </w:num>
  <w:num w:numId="8">
    <w:abstractNumId w:val="34"/>
  </w:num>
  <w:num w:numId="9">
    <w:abstractNumId w:val="16"/>
  </w:num>
  <w:num w:numId="10">
    <w:abstractNumId w:val="17"/>
  </w:num>
  <w:num w:numId="11">
    <w:abstractNumId w:val="30"/>
  </w:num>
  <w:num w:numId="12">
    <w:abstractNumId w:val="20"/>
  </w:num>
  <w:num w:numId="13">
    <w:abstractNumId w:val="9"/>
  </w:num>
  <w:num w:numId="14">
    <w:abstractNumId w:val="29"/>
  </w:num>
  <w:num w:numId="15">
    <w:abstractNumId w:val="25"/>
  </w:num>
  <w:num w:numId="16">
    <w:abstractNumId w:val="11"/>
  </w:num>
  <w:num w:numId="17">
    <w:abstractNumId w:val="15"/>
  </w:num>
  <w:num w:numId="18">
    <w:abstractNumId w:val="22"/>
  </w:num>
  <w:num w:numId="19">
    <w:abstractNumId w:val="4"/>
  </w:num>
  <w:num w:numId="20">
    <w:abstractNumId w:val="37"/>
  </w:num>
  <w:num w:numId="21">
    <w:abstractNumId w:val="35"/>
  </w:num>
  <w:num w:numId="22">
    <w:abstractNumId w:val="36"/>
  </w:num>
  <w:num w:numId="23">
    <w:abstractNumId w:val="7"/>
  </w:num>
  <w:num w:numId="24">
    <w:abstractNumId w:val="12"/>
  </w:num>
  <w:num w:numId="25">
    <w:abstractNumId w:val="0"/>
  </w:num>
  <w:num w:numId="26">
    <w:abstractNumId w:val="13"/>
  </w:num>
  <w:num w:numId="27">
    <w:abstractNumId w:val="19"/>
  </w:num>
  <w:num w:numId="28">
    <w:abstractNumId w:val="24"/>
  </w:num>
  <w:num w:numId="29">
    <w:abstractNumId w:val="26"/>
  </w:num>
  <w:num w:numId="30">
    <w:abstractNumId w:val="3"/>
  </w:num>
  <w:num w:numId="31">
    <w:abstractNumId w:val="23"/>
  </w:num>
  <w:num w:numId="32">
    <w:abstractNumId w:val="18"/>
  </w:num>
  <w:num w:numId="33">
    <w:abstractNumId w:val="21"/>
  </w:num>
  <w:num w:numId="34">
    <w:abstractNumId w:val="6"/>
  </w:num>
  <w:num w:numId="35">
    <w:abstractNumId w:val="2"/>
  </w:num>
  <w:num w:numId="36">
    <w:abstractNumId w:val="31"/>
  </w:num>
  <w:num w:numId="37">
    <w:abstractNumId w:val="10"/>
  </w:num>
  <w:num w:numId="38">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DA5"/>
    <w:rsid w:val="000014E4"/>
    <w:rsid w:val="00001B5D"/>
    <w:rsid w:val="00001C4C"/>
    <w:rsid w:val="000029CF"/>
    <w:rsid w:val="00003363"/>
    <w:rsid w:val="00003D39"/>
    <w:rsid w:val="00004616"/>
    <w:rsid w:val="00005D84"/>
    <w:rsid w:val="00005F93"/>
    <w:rsid w:val="0000618F"/>
    <w:rsid w:val="00006E49"/>
    <w:rsid w:val="000107CA"/>
    <w:rsid w:val="00010845"/>
    <w:rsid w:val="0001172C"/>
    <w:rsid w:val="0001194F"/>
    <w:rsid w:val="00011E50"/>
    <w:rsid w:val="000124A6"/>
    <w:rsid w:val="0001259B"/>
    <w:rsid w:val="00013455"/>
    <w:rsid w:val="000151FF"/>
    <w:rsid w:val="00015459"/>
    <w:rsid w:val="000155B9"/>
    <w:rsid w:val="0001583A"/>
    <w:rsid w:val="00017C38"/>
    <w:rsid w:val="000200EB"/>
    <w:rsid w:val="00021154"/>
    <w:rsid w:val="00021850"/>
    <w:rsid w:val="000234CD"/>
    <w:rsid w:val="00025958"/>
    <w:rsid w:val="00025A82"/>
    <w:rsid w:val="00025B04"/>
    <w:rsid w:val="00026126"/>
    <w:rsid w:val="00026434"/>
    <w:rsid w:val="000268BF"/>
    <w:rsid w:val="000268D1"/>
    <w:rsid w:val="00026C0B"/>
    <w:rsid w:val="00026F31"/>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800"/>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96814"/>
    <w:rsid w:val="000A03DA"/>
    <w:rsid w:val="000A11A9"/>
    <w:rsid w:val="000A2001"/>
    <w:rsid w:val="000A326E"/>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0925"/>
    <w:rsid w:val="000D15E8"/>
    <w:rsid w:val="000D1B1F"/>
    <w:rsid w:val="000D3EF9"/>
    <w:rsid w:val="000D4561"/>
    <w:rsid w:val="000D52E0"/>
    <w:rsid w:val="000D5A6C"/>
    <w:rsid w:val="000D5DFC"/>
    <w:rsid w:val="000D6F16"/>
    <w:rsid w:val="000D72AD"/>
    <w:rsid w:val="000D7AFE"/>
    <w:rsid w:val="000D7C4C"/>
    <w:rsid w:val="000E035C"/>
    <w:rsid w:val="000E1CAE"/>
    <w:rsid w:val="000E2973"/>
    <w:rsid w:val="000E2AE0"/>
    <w:rsid w:val="000E2B7A"/>
    <w:rsid w:val="000E473A"/>
    <w:rsid w:val="000E4BBC"/>
    <w:rsid w:val="000E5759"/>
    <w:rsid w:val="000E6880"/>
    <w:rsid w:val="000E6DD2"/>
    <w:rsid w:val="000F00C5"/>
    <w:rsid w:val="000F09D3"/>
    <w:rsid w:val="000F27D8"/>
    <w:rsid w:val="000F364D"/>
    <w:rsid w:val="000F3DE0"/>
    <w:rsid w:val="000F3FCB"/>
    <w:rsid w:val="000F4186"/>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3054"/>
    <w:rsid w:val="0011327F"/>
    <w:rsid w:val="0011370F"/>
    <w:rsid w:val="0011472A"/>
    <w:rsid w:val="0011507D"/>
    <w:rsid w:val="0011688E"/>
    <w:rsid w:val="00117C29"/>
    <w:rsid w:val="001218F5"/>
    <w:rsid w:val="00122A5F"/>
    <w:rsid w:val="00122D5C"/>
    <w:rsid w:val="00122F51"/>
    <w:rsid w:val="00124278"/>
    <w:rsid w:val="001249B3"/>
    <w:rsid w:val="00124F09"/>
    <w:rsid w:val="00124FD2"/>
    <w:rsid w:val="001253A0"/>
    <w:rsid w:val="0012698D"/>
    <w:rsid w:val="001269C7"/>
    <w:rsid w:val="00126BF9"/>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366"/>
    <w:rsid w:val="001446CE"/>
    <w:rsid w:val="00146C23"/>
    <w:rsid w:val="00150268"/>
    <w:rsid w:val="001507E0"/>
    <w:rsid w:val="00151815"/>
    <w:rsid w:val="00152F0E"/>
    <w:rsid w:val="00153574"/>
    <w:rsid w:val="001539B0"/>
    <w:rsid w:val="001549B6"/>
    <w:rsid w:val="0015554A"/>
    <w:rsid w:val="00155669"/>
    <w:rsid w:val="00155773"/>
    <w:rsid w:val="00155941"/>
    <w:rsid w:val="0015635D"/>
    <w:rsid w:val="00156F8D"/>
    <w:rsid w:val="00157781"/>
    <w:rsid w:val="00157DC9"/>
    <w:rsid w:val="00157E9A"/>
    <w:rsid w:val="001607AD"/>
    <w:rsid w:val="00161465"/>
    <w:rsid w:val="001625C3"/>
    <w:rsid w:val="001626BA"/>
    <w:rsid w:val="00162A57"/>
    <w:rsid w:val="00162F85"/>
    <w:rsid w:val="001633CE"/>
    <w:rsid w:val="00163D49"/>
    <w:rsid w:val="0016470B"/>
    <w:rsid w:val="00165A2B"/>
    <w:rsid w:val="001672B1"/>
    <w:rsid w:val="00167D40"/>
    <w:rsid w:val="00171F9C"/>
    <w:rsid w:val="001729E6"/>
    <w:rsid w:val="00172A0F"/>
    <w:rsid w:val="00173C94"/>
    <w:rsid w:val="00173F16"/>
    <w:rsid w:val="001740B4"/>
    <w:rsid w:val="00174345"/>
    <w:rsid w:val="0017443B"/>
    <w:rsid w:val="00174F24"/>
    <w:rsid w:val="00174FDB"/>
    <w:rsid w:val="00175841"/>
    <w:rsid w:val="00175951"/>
    <w:rsid w:val="00175A7A"/>
    <w:rsid w:val="0017639F"/>
    <w:rsid w:val="00176809"/>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7E7"/>
    <w:rsid w:val="00191CCD"/>
    <w:rsid w:val="001926B1"/>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2F11"/>
    <w:rsid w:val="001E4CF4"/>
    <w:rsid w:val="001E5079"/>
    <w:rsid w:val="001E6596"/>
    <w:rsid w:val="001E6A15"/>
    <w:rsid w:val="001E6B2B"/>
    <w:rsid w:val="001E6FC2"/>
    <w:rsid w:val="001F2C71"/>
    <w:rsid w:val="001F2F8D"/>
    <w:rsid w:val="001F3963"/>
    <w:rsid w:val="001F5CF3"/>
    <w:rsid w:val="001F70A4"/>
    <w:rsid w:val="001F70AD"/>
    <w:rsid w:val="001F729D"/>
    <w:rsid w:val="001F755C"/>
    <w:rsid w:val="001F7975"/>
    <w:rsid w:val="00200D08"/>
    <w:rsid w:val="00201B00"/>
    <w:rsid w:val="00203D65"/>
    <w:rsid w:val="00204069"/>
    <w:rsid w:val="00206367"/>
    <w:rsid w:val="00206812"/>
    <w:rsid w:val="0020740E"/>
    <w:rsid w:val="00207EEB"/>
    <w:rsid w:val="00211B6B"/>
    <w:rsid w:val="00212D99"/>
    <w:rsid w:val="00212EBC"/>
    <w:rsid w:val="00214420"/>
    <w:rsid w:val="00214F29"/>
    <w:rsid w:val="00214FB5"/>
    <w:rsid w:val="00216288"/>
    <w:rsid w:val="00221265"/>
    <w:rsid w:val="00221717"/>
    <w:rsid w:val="002225A5"/>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2A8A"/>
    <w:rsid w:val="00253B8C"/>
    <w:rsid w:val="00253F3D"/>
    <w:rsid w:val="00254DCC"/>
    <w:rsid w:val="00255D0E"/>
    <w:rsid w:val="00256AB6"/>
    <w:rsid w:val="00257090"/>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692"/>
    <w:rsid w:val="00282B7B"/>
    <w:rsid w:val="00282F42"/>
    <w:rsid w:val="00286FC7"/>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1"/>
    <w:rsid w:val="002B42ED"/>
    <w:rsid w:val="002B4C96"/>
    <w:rsid w:val="002B521C"/>
    <w:rsid w:val="002B5C51"/>
    <w:rsid w:val="002B7561"/>
    <w:rsid w:val="002C084C"/>
    <w:rsid w:val="002C0F40"/>
    <w:rsid w:val="002C1909"/>
    <w:rsid w:val="002C1C95"/>
    <w:rsid w:val="002C2C2D"/>
    <w:rsid w:val="002C4897"/>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2D3"/>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7A6F"/>
    <w:rsid w:val="00310753"/>
    <w:rsid w:val="00310840"/>
    <w:rsid w:val="0031309E"/>
    <w:rsid w:val="0031638F"/>
    <w:rsid w:val="00316805"/>
    <w:rsid w:val="003179A1"/>
    <w:rsid w:val="00317A6D"/>
    <w:rsid w:val="00317CB3"/>
    <w:rsid w:val="003214C5"/>
    <w:rsid w:val="00322352"/>
    <w:rsid w:val="00322531"/>
    <w:rsid w:val="003225F1"/>
    <w:rsid w:val="00322B1C"/>
    <w:rsid w:val="00324B1E"/>
    <w:rsid w:val="00331B27"/>
    <w:rsid w:val="00331C47"/>
    <w:rsid w:val="00331DB3"/>
    <w:rsid w:val="00331E95"/>
    <w:rsid w:val="003321AD"/>
    <w:rsid w:val="00332B16"/>
    <w:rsid w:val="00332FC6"/>
    <w:rsid w:val="0033542E"/>
    <w:rsid w:val="003358CA"/>
    <w:rsid w:val="00335C2F"/>
    <w:rsid w:val="003363B6"/>
    <w:rsid w:val="00337987"/>
    <w:rsid w:val="00337C9A"/>
    <w:rsid w:val="00337EC4"/>
    <w:rsid w:val="003400D9"/>
    <w:rsid w:val="003404A7"/>
    <w:rsid w:val="0034172C"/>
    <w:rsid w:val="00342262"/>
    <w:rsid w:val="0034272F"/>
    <w:rsid w:val="00342CD1"/>
    <w:rsid w:val="00344CDE"/>
    <w:rsid w:val="00344F24"/>
    <w:rsid w:val="00345EC7"/>
    <w:rsid w:val="00350B57"/>
    <w:rsid w:val="00350F3A"/>
    <w:rsid w:val="0035152D"/>
    <w:rsid w:val="00351ABB"/>
    <w:rsid w:val="00351C0D"/>
    <w:rsid w:val="00352146"/>
    <w:rsid w:val="00354865"/>
    <w:rsid w:val="00355C00"/>
    <w:rsid w:val="003572BA"/>
    <w:rsid w:val="0035799E"/>
    <w:rsid w:val="003603CA"/>
    <w:rsid w:val="00361114"/>
    <w:rsid w:val="00362011"/>
    <w:rsid w:val="003621EF"/>
    <w:rsid w:val="003639FB"/>
    <w:rsid w:val="00363BCD"/>
    <w:rsid w:val="00370617"/>
    <w:rsid w:val="00370A32"/>
    <w:rsid w:val="00370C4D"/>
    <w:rsid w:val="00371D6A"/>
    <w:rsid w:val="003727B8"/>
    <w:rsid w:val="003732D8"/>
    <w:rsid w:val="00373EAA"/>
    <w:rsid w:val="003765A0"/>
    <w:rsid w:val="003779CD"/>
    <w:rsid w:val="003808DA"/>
    <w:rsid w:val="0038185B"/>
    <w:rsid w:val="00384435"/>
    <w:rsid w:val="00384A15"/>
    <w:rsid w:val="00390F86"/>
    <w:rsid w:val="0039456F"/>
    <w:rsid w:val="00394E39"/>
    <w:rsid w:val="00395315"/>
    <w:rsid w:val="0039544A"/>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B601F"/>
    <w:rsid w:val="003C381E"/>
    <w:rsid w:val="003C5132"/>
    <w:rsid w:val="003C51C5"/>
    <w:rsid w:val="003C62D1"/>
    <w:rsid w:val="003C6DE0"/>
    <w:rsid w:val="003C7400"/>
    <w:rsid w:val="003D0253"/>
    <w:rsid w:val="003D069B"/>
    <w:rsid w:val="003D43ED"/>
    <w:rsid w:val="003D6790"/>
    <w:rsid w:val="003D6E90"/>
    <w:rsid w:val="003D7D84"/>
    <w:rsid w:val="003D7E13"/>
    <w:rsid w:val="003E0A21"/>
    <w:rsid w:val="003E1450"/>
    <w:rsid w:val="003E21B6"/>
    <w:rsid w:val="003E220B"/>
    <w:rsid w:val="003E250A"/>
    <w:rsid w:val="003E3889"/>
    <w:rsid w:val="003E39ED"/>
    <w:rsid w:val="003E6AAA"/>
    <w:rsid w:val="003F0E9A"/>
    <w:rsid w:val="003F293D"/>
    <w:rsid w:val="003F4C52"/>
    <w:rsid w:val="003F501E"/>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322"/>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1FE7"/>
    <w:rsid w:val="0045313C"/>
    <w:rsid w:val="00455FEC"/>
    <w:rsid w:val="004564B8"/>
    <w:rsid w:val="00457AE7"/>
    <w:rsid w:val="00460D6B"/>
    <w:rsid w:val="0046132A"/>
    <w:rsid w:val="00462494"/>
    <w:rsid w:val="0046283B"/>
    <w:rsid w:val="004640BA"/>
    <w:rsid w:val="00465407"/>
    <w:rsid w:val="00465DF6"/>
    <w:rsid w:val="004662C2"/>
    <w:rsid w:val="00466486"/>
    <w:rsid w:val="00466D7F"/>
    <w:rsid w:val="0046710C"/>
    <w:rsid w:val="00467337"/>
    <w:rsid w:val="004673E4"/>
    <w:rsid w:val="00470794"/>
    <w:rsid w:val="004708EF"/>
    <w:rsid w:val="00471C42"/>
    <w:rsid w:val="00471E30"/>
    <w:rsid w:val="00473112"/>
    <w:rsid w:val="004737C2"/>
    <w:rsid w:val="00473805"/>
    <w:rsid w:val="00474D21"/>
    <w:rsid w:val="00475200"/>
    <w:rsid w:val="00475D99"/>
    <w:rsid w:val="004769CF"/>
    <w:rsid w:val="0047781B"/>
    <w:rsid w:val="00477D9F"/>
    <w:rsid w:val="00480E4C"/>
    <w:rsid w:val="00481161"/>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2855"/>
    <w:rsid w:val="004A3002"/>
    <w:rsid w:val="004A5BF0"/>
    <w:rsid w:val="004A601B"/>
    <w:rsid w:val="004A6C76"/>
    <w:rsid w:val="004B2BFE"/>
    <w:rsid w:val="004B4AA9"/>
    <w:rsid w:val="004B6108"/>
    <w:rsid w:val="004C0111"/>
    <w:rsid w:val="004C044F"/>
    <w:rsid w:val="004C0E5F"/>
    <w:rsid w:val="004C1E3A"/>
    <w:rsid w:val="004C296F"/>
    <w:rsid w:val="004C36D1"/>
    <w:rsid w:val="004C4F1D"/>
    <w:rsid w:val="004C59A0"/>
    <w:rsid w:val="004C63BF"/>
    <w:rsid w:val="004C64BD"/>
    <w:rsid w:val="004C6556"/>
    <w:rsid w:val="004C6700"/>
    <w:rsid w:val="004C6A31"/>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1945"/>
    <w:rsid w:val="004F22BB"/>
    <w:rsid w:val="004F2A18"/>
    <w:rsid w:val="004F2A9F"/>
    <w:rsid w:val="004F3668"/>
    <w:rsid w:val="004F5DBD"/>
    <w:rsid w:val="004F7500"/>
    <w:rsid w:val="004F77A6"/>
    <w:rsid w:val="005018DE"/>
    <w:rsid w:val="00502955"/>
    <w:rsid w:val="00502D59"/>
    <w:rsid w:val="00503AD1"/>
    <w:rsid w:val="00505955"/>
    <w:rsid w:val="005059EE"/>
    <w:rsid w:val="00506EA8"/>
    <w:rsid w:val="005075BE"/>
    <w:rsid w:val="00507C59"/>
    <w:rsid w:val="005104EA"/>
    <w:rsid w:val="0051053D"/>
    <w:rsid w:val="005109F5"/>
    <w:rsid w:val="00511D87"/>
    <w:rsid w:val="0051325B"/>
    <w:rsid w:val="00513301"/>
    <w:rsid w:val="0051402F"/>
    <w:rsid w:val="00515004"/>
    <w:rsid w:val="0051555B"/>
    <w:rsid w:val="005162CB"/>
    <w:rsid w:val="0051643D"/>
    <w:rsid w:val="00516C88"/>
    <w:rsid w:val="00517915"/>
    <w:rsid w:val="005206DE"/>
    <w:rsid w:val="00520902"/>
    <w:rsid w:val="0052200C"/>
    <w:rsid w:val="005226D7"/>
    <w:rsid w:val="00525919"/>
    <w:rsid w:val="005259CA"/>
    <w:rsid w:val="005266D0"/>
    <w:rsid w:val="0052733F"/>
    <w:rsid w:val="00527543"/>
    <w:rsid w:val="0052791F"/>
    <w:rsid w:val="005307A5"/>
    <w:rsid w:val="005340C0"/>
    <w:rsid w:val="0053483E"/>
    <w:rsid w:val="00535129"/>
    <w:rsid w:val="0053677A"/>
    <w:rsid w:val="00537F65"/>
    <w:rsid w:val="005405BF"/>
    <w:rsid w:val="00540D41"/>
    <w:rsid w:val="00541969"/>
    <w:rsid w:val="005424C8"/>
    <w:rsid w:val="00543C17"/>
    <w:rsid w:val="0054550E"/>
    <w:rsid w:val="00546B9C"/>
    <w:rsid w:val="00547527"/>
    <w:rsid w:val="005515B0"/>
    <w:rsid w:val="00551E53"/>
    <w:rsid w:val="00552C87"/>
    <w:rsid w:val="00553AFB"/>
    <w:rsid w:val="00554DC9"/>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6D6A"/>
    <w:rsid w:val="0058717E"/>
    <w:rsid w:val="00587275"/>
    <w:rsid w:val="00587CCC"/>
    <w:rsid w:val="00590862"/>
    <w:rsid w:val="005908F8"/>
    <w:rsid w:val="00590D9F"/>
    <w:rsid w:val="005917E4"/>
    <w:rsid w:val="00591E5E"/>
    <w:rsid w:val="005922CD"/>
    <w:rsid w:val="00592813"/>
    <w:rsid w:val="00592F03"/>
    <w:rsid w:val="00592F1D"/>
    <w:rsid w:val="00593056"/>
    <w:rsid w:val="00593462"/>
    <w:rsid w:val="00593B3B"/>
    <w:rsid w:val="005948B0"/>
    <w:rsid w:val="0059492E"/>
    <w:rsid w:val="005A01F5"/>
    <w:rsid w:val="005A042E"/>
    <w:rsid w:val="005A0D71"/>
    <w:rsid w:val="005A15EA"/>
    <w:rsid w:val="005A1AC1"/>
    <w:rsid w:val="005A1CBD"/>
    <w:rsid w:val="005A41B1"/>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56C"/>
    <w:rsid w:val="005C721D"/>
    <w:rsid w:val="005D0337"/>
    <w:rsid w:val="005D0611"/>
    <w:rsid w:val="005D0E1A"/>
    <w:rsid w:val="005D28A7"/>
    <w:rsid w:val="005D2CD0"/>
    <w:rsid w:val="005D2F31"/>
    <w:rsid w:val="005D4AC6"/>
    <w:rsid w:val="005D5851"/>
    <w:rsid w:val="005D5BA1"/>
    <w:rsid w:val="005D6473"/>
    <w:rsid w:val="005D7688"/>
    <w:rsid w:val="005E0052"/>
    <w:rsid w:val="005E022D"/>
    <w:rsid w:val="005E232D"/>
    <w:rsid w:val="005E25B8"/>
    <w:rsid w:val="005E3531"/>
    <w:rsid w:val="005E41E1"/>
    <w:rsid w:val="005E5842"/>
    <w:rsid w:val="005E76E4"/>
    <w:rsid w:val="005F029B"/>
    <w:rsid w:val="005F0967"/>
    <w:rsid w:val="005F2B85"/>
    <w:rsid w:val="005F3A9C"/>
    <w:rsid w:val="005F552E"/>
    <w:rsid w:val="005F6257"/>
    <w:rsid w:val="005F70AB"/>
    <w:rsid w:val="005F79A9"/>
    <w:rsid w:val="005F7E12"/>
    <w:rsid w:val="00600724"/>
    <w:rsid w:val="00600DAE"/>
    <w:rsid w:val="00600F57"/>
    <w:rsid w:val="00602705"/>
    <w:rsid w:val="006032C0"/>
    <w:rsid w:val="00603670"/>
    <w:rsid w:val="00603A78"/>
    <w:rsid w:val="00604122"/>
    <w:rsid w:val="006058DA"/>
    <w:rsid w:val="00606D6A"/>
    <w:rsid w:val="006074E3"/>
    <w:rsid w:val="00610F51"/>
    <w:rsid w:val="006112EF"/>
    <w:rsid w:val="00611C6A"/>
    <w:rsid w:val="00611FCD"/>
    <w:rsid w:val="0061336E"/>
    <w:rsid w:val="00614A7D"/>
    <w:rsid w:val="006154F4"/>
    <w:rsid w:val="00615773"/>
    <w:rsid w:val="00616A16"/>
    <w:rsid w:val="0061774C"/>
    <w:rsid w:val="00620AFB"/>
    <w:rsid w:val="00620D77"/>
    <w:rsid w:val="00620D93"/>
    <w:rsid w:val="00621020"/>
    <w:rsid w:val="00622539"/>
    <w:rsid w:val="006227C7"/>
    <w:rsid w:val="0062393F"/>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AAA"/>
    <w:rsid w:val="006468E6"/>
    <w:rsid w:val="00646D6C"/>
    <w:rsid w:val="006476E5"/>
    <w:rsid w:val="006502BE"/>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7746C"/>
    <w:rsid w:val="00680E86"/>
    <w:rsid w:val="0068131C"/>
    <w:rsid w:val="006814B5"/>
    <w:rsid w:val="0068167F"/>
    <w:rsid w:val="00683CDA"/>
    <w:rsid w:val="00683F25"/>
    <w:rsid w:val="006853BE"/>
    <w:rsid w:val="00685F43"/>
    <w:rsid w:val="006866DA"/>
    <w:rsid w:val="0069252F"/>
    <w:rsid w:val="0069259D"/>
    <w:rsid w:val="00693CDA"/>
    <w:rsid w:val="00694073"/>
    <w:rsid w:val="00696AED"/>
    <w:rsid w:val="006A05B7"/>
    <w:rsid w:val="006A1C99"/>
    <w:rsid w:val="006A2FDD"/>
    <w:rsid w:val="006A33D4"/>
    <w:rsid w:val="006A3BCA"/>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848"/>
    <w:rsid w:val="006D0A13"/>
    <w:rsid w:val="006D1EEA"/>
    <w:rsid w:val="006D467E"/>
    <w:rsid w:val="006D5AA1"/>
    <w:rsid w:val="006D5E30"/>
    <w:rsid w:val="006E0653"/>
    <w:rsid w:val="006E068D"/>
    <w:rsid w:val="006E31C3"/>
    <w:rsid w:val="006E3A9B"/>
    <w:rsid w:val="006E475D"/>
    <w:rsid w:val="006E4A33"/>
    <w:rsid w:val="006E50B8"/>
    <w:rsid w:val="006E5A66"/>
    <w:rsid w:val="006F065C"/>
    <w:rsid w:val="006F0BC7"/>
    <w:rsid w:val="006F0C83"/>
    <w:rsid w:val="006F32A8"/>
    <w:rsid w:val="006F4F34"/>
    <w:rsid w:val="006F5FDD"/>
    <w:rsid w:val="006F661D"/>
    <w:rsid w:val="006F6D39"/>
    <w:rsid w:val="006F711C"/>
    <w:rsid w:val="0070089F"/>
    <w:rsid w:val="007017B2"/>
    <w:rsid w:val="007022D6"/>
    <w:rsid w:val="00704157"/>
    <w:rsid w:val="0070505F"/>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0B97"/>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D4F"/>
    <w:rsid w:val="0073440E"/>
    <w:rsid w:val="0073551F"/>
    <w:rsid w:val="0073759D"/>
    <w:rsid w:val="007404DF"/>
    <w:rsid w:val="00740C3A"/>
    <w:rsid w:val="00742120"/>
    <w:rsid w:val="0074273E"/>
    <w:rsid w:val="00742C4C"/>
    <w:rsid w:val="00743154"/>
    <w:rsid w:val="007433B0"/>
    <w:rsid w:val="00743693"/>
    <w:rsid w:val="00743E12"/>
    <w:rsid w:val="0074573E"/>
    <w:rsid w:val="007458E5"/>
    <w:rsid w:val="0075034F"/>
    <w:rsid w:val="007511EA"/>
    <w:rsid w:val="007511FB"/>
    <w:rsid w:val="00752510"/>
    <w:rsid w:val="0075331D"/>
    <w:rsid w:val="00753B40"/>
    <w:rsid w:val="00755A87"/>
    <w:rsid w:val="00755DBA"/>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3601"/>
    <w:rsid w:val="00784F37"/>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4D84"/>
    <w:rsid w:val="007C69DE"/>
    <w:rsid w:val="007C715D"/>
    <w:rsid w:val="007D0E2B"/>
    <w:rsid w:val="007D1446"/>
    <w:rsid w:val="007D1AD1"/>
    <w:rsid w:val="007D55DB"/>
    <w:rsid w:val="007D76F2"/>
    <w:rsid w:val="007D7E86"/>
    <w:rsid w:val="007E0714"/>
    <w:rsid w:val="007E089D"/>
    <w:rsid w:val="007E1B14"/>
    <w:rsid w:val="007E2F64"/>
    <w:rsid w:val="007E5D71"/>
    <w:rsid w:val="007E5F83"/>
    <w:rsid w:val="007E644A"/>
    <w:rsid w:val="007E6D06"/>
    <w:rsid w:val="007E6F4A"/>
    <w:rsid w:val="007E767B"/>
    <w:rsid w:val="007E7F43"/>
    <w:rsid w:val="007F38C5"/>
    <w:rsid w:val="007F3D06"/>
    <w:rsid w:val="007F5938"/>
    <w:rsid w:val="007F7A54"/>
    <w:rsid w:val="007F7B52"/>
    <w:rsid w:val="007F7EB3"/>
    <w:rsid w:val="00800024"/>
    <w:rsid w:val="0080175B"/>
    <w:rsid w:val="00803951"/>
    <w:rsid w:val="008052ED"/>
    <w:rsid w:val="008054DC"/>
    <w:rsid w:val="0081032C"/>
    <w:rsid w:val="00811EC7"/>
    <w:rsid w:val="00812269"/>
    <w:rsid w:val="008123CF"/>
    <w:rsid w:val="00813580"/>
    <w:rsid w:val="00813ABA"/>
    <w:rsid w:val="00814A22"/>
    <w:rsid w:val="008151B8"/>
    <w:rsid w:val="00815528"/>
    <w:rsid w:val="00815FE4"/>
    <w:rsid w:val="00816AF6"/>
    <w:rsid w:val="00817303"/>
    <w:rsid w:val="0082275E"/>
    <w:rsid w:val="00822839"/>
    <w:rsid w:val="00823E1B"/>
    <w:rsid w:val="008245D8"/>
    <w:rsid w:val="008248DC"/>
    <w:rsid w:val="00824B28"/>
    <w:rsid w:val="00825482"/>
    <w:rsid w:val="008256A9"/>
    <w:rsid w:val="0082637F"/>
    <w:rsid w:val="00826C44"/>
    <w:rsid w:val="0083043F"/>
    <w:rsid w:val="0083069F"/>
    <w:rsid w:val="008306E8"/>
    <w:rsid w:val="0083140C"/>
    <w:rsid w:val="00831533"/>
    <w:rsid w:val="008318D0"/>
    <w:rsid w:val="00832C12"/>
    <w:rsid w:val="008332E4"/>
    <w:rsid w:val="00833628"/>
    <w:rsid w:val="00837886"/>
    <w:rsid w:val="00840332"/>
    <w:rsid w:val="00840449"/>
    <w:rsid w:val="00841010"/>
    <w:rsid w:val="0084143A"/>
    <w:rsid w:val="00842301"/>
    <w:rsid w:val="0084354B"/>
    <w:rsid w:val="0084364C"/>
    <w:rsid w:val="0084374D"/>
    <w:rsid w:val="00843F23"/>
    <w:rsid w:val="00843FFD"/>
    <w:rsid w:val="00846D0E"/>
    <w:rsid w:val="00847A54"/>
    <w:rsid w:val="008503E9"/>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25A8"/>
    <w:rsid w:val="00873DE4"/>
    <w:rsid w:val="00875C22"/>
    <w:rsid w:val="00875F5F"/>
    <w:rsid w:val="008766EC"/>
    <w:rsid w:val="00876930"/>
    <w:rsid w:val="00880C36"/>
    <w:rsid w:val="00880D95"/>
    <w:rsid w:val="00880EA6"/>
    <w:rsid w:val="008830D6"/>
    <w:rsid w:val="008831B8"/>
    <w:rsid w:val="0088338E"/>
    <w:rsid w:val="008834D4"/>
    <w:rsid w:val="00883821"/>
    <w:rsid w:val="00885174"/>
    <w:rsid w:val="00887791"/>
    <w:rsid w:val="00890062"/>
    <w:rsid w:val="00891B16"/>
    <w:rsid w:val="00891E30"/>
    <w:rsid w:val="008921C8"/>
    <w:rsid w:val="0089374B"/>
    <w:rsid w:val="0089455E"/>
    <w:rsid w:val="00895592"/>
    <w:rsid w:val="00895FF4"/>
    <w:rsid w:val="0089738D"/>
    <w:rsid w:val="008979B3"/>
    <w:rsid w:val="00897FA7"/>
    <w:rsid w:val="00897FD5"/>
    <w:rsid w:val="008A0CA3"/>
    <w:rsid w:val="008A12A4"/>
    <w:rsid w:val="008A1343"/>
    <w:rsid w:val="008A2558"/>
    <w:rsid w:val="008A3C1D"/>
    <w:rsid w:val="008A434A"/>
    <w:rsid w:val="008A4B5A"/>
    <w:rsid w:val="008A4FC6"/>
    <w:rsid w:val="008A55AB"/>
    <w:rsid w:val="008B32E1"/>
    <w:rsid w:val="008B3CB4"/>
    <w:rsid w:val="008B3E81"/>
    <w:rsid w:val="008B46F2"/>
    <w:rsid w:val="008B6B40"/>
    <w:rsid w:val="008B6BEA"/>
    <w:rsid w:val="008B6D18"/>
    <w:rsid w:val="008B6FAF"/>
    <w:rsid w:val="008B7433"/>
    <w:rsid w:val="008C0DCB"/>
    <w:rsid w:val="008C13DE"/>
    <w:rsid w:val="008C1AB9"/>
    <w:rsid w:val="008C22F3"/>
    <w:rsid w:val="008C4C6B"/>
    <w:rsid w:val="008C4E38"/>
    <w:rsid w:val="008C516C"/>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5FA4"/>
    <w:rsid w:val="008D6865"/>
    <w:rsid w:val="008D6910"/>
    <w:rsid w:val="008D761D"/>
    <w:rsid w:val="008E0149"/>
    <w:rsid w:val="008E0BF6"/>
    <w:rsid w:val="008E1C86"/>
    <w:rsid w:val="008E2877"/>
    <w:rsid w:val="008E550C"/>
    <w:rsid w:val="008E5E49"/>
    <w:rsid w:val="008E61F2"/>
    <w:rsid w:val="008E7348"/>
    <w:rsid w:val="008F0B55"/>
    <w:rsid w:val="008F0C5C"/>
    <w:rsid w:val="008F1121"/>
    <w:rsid w:val="008F1A56"/>
    <w:rsid w:val="008F33C7"/>
    <w:rsid w:val="008F3A57"/>
    <w:rsid w:val="008F3BE3"/>
    <w:rsid w:val="008F4302"/>
    <w:rsid w:val="008F4D54"/>
    <w:rsid w:val="008F5A69"/>
    <w:rsid w:val="008F6051"/>
    <w:rsid w:val="008F73DE"/>
    <w:rsid w:val="008F785B"/>
    <w:rsid w:val="008F7D62"/>
    <w:rsid w:val="009017EA"/>
    <w:rsid w:val="00902FCE"/>
    <w:rsid w:val="0090523B"/>
    <w:rsid w:val="00906066"/>
    <w:rsid w:val="0090609A"/>
    <w:rsid w:val="00910BBC"/>
    <w:rsid w:val="00911E1A"/>
    <w:rsid w:val="009139BF"/>
    <w:rsid w:val="00914156"/>
    <w:rsid w:val="009161FD"/>
    <w:rsid w:val="0091654B"/>
    <w:rsid w:val="009166AC"/>
    <w:rsid w:val="0091725A"/>
    <w:rsid w:val="00917599"/>
    <w:rsid w:val="009214C1"/>
    <w:rsid w:val="0092266B"/>
    <w:rsid w:val="00922EF9"/>
    <w:rsid w:val="00924770"/>
    <w:rsid w:val="00924ACC"/>
    <w:rsid w:val="00925A13"/>
    <w:rsid w:val="00925E48"/>
    <w:rsid w:val="009267F3"/>
    <w:rsid w:val="0092700D"/>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4445"/>
    <w:rsid w:val="009552EA"/>
    <w:rsid w:val="00955DF1"/>
    <w:rsid w:val="00956D2E"/>
    <w:rsid w:val="00957E18"/>
    <w:rsid w:val="00961112"/>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45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56E7"/>
    <w:rsid w:val="00995F81"/>
    <w:rsid w:val="0099719B"/>
    <w:rsid w:val="0099768C"/>
    <w:rsid w:val="00997715"/>
    <w:rsid w:val="009A09C1"/>
    <w:rsid w:val="009A0E91"/>
    <w:rsid w:val="009A123F"/>
    <w:rsid w:val="009A19AA"/>
    <w:rsid w:val="009A2027"/>
    <w:rsid w:val="009A235A"/>
    <w:rsid w:val="009A555C"/>
    <w:rsid w:val="009A6AFB"/>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1737"/>
    <w:rsid w:val="009D240B"/>
    <w:rsid w:val="009D2802"/>
    <w:rsid w:val="009D2DE5"/>
    <w:rsid w:val="009D32B6"/>
    <w:rsid w:val="009D414E"/>
    <w:rsid w:val="009D4AAA"/>
    <w:rsid w:val="009D55D5"/>
    <w:rsid w:val="009D6EC9"/>
    <w:rsid w:val="009D79EE"/>
    <w:rsid w:val="009E0DE0"/>
    <w:rsid w:val="009E0EE2"/>
    <w:rsid w:val="009E1F33"/>
    <w:rsid w:val="009E436A"/>
    <w:rsid w:val="009E5102"/>
    <w:rsid w:val="009E5964"/>
    <w:rsid w:val="009F0192"/>
    <w:rsid w:val="009F0B74"/>
    <w:rsid w:val="009F0C18"/>
    <w:rsid w:val="009F10E9"/>
    <w:rsid w:val="009F3585"/>
    <w:rsid w:val="009F53CF"/>
    <w:rsid w:val="009F5703"/>
    <w:rsid w:val="009F7A59"/>
    <w:rsid w:val="00A01AC5"/>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B97"/>
    <w:rsid w:val="00A246F4"/>
    <w:rsid w:val="00A24BCB"/>
    <w:rsid w:val="00A24CAB"/>
    <w:rsid w:val="00A255E4"/>
    <w:rsid w:val="00A264D2"/>
    <w:rsid w:val="00A26621"/>
    <w:rsid w:val="00A269FE"/>
    <w:rsid w:val="00A329E7"/>
    <w:rsid w:val="00A335AF"/>
    <w:rsid w:val="00A3598A"/>
    <w:rsid w:val="00A37352"/>
    <w:rsid w:val="00A37F9F"/>
    <w:rsid w:val="00A40DA0"/>
    <w:rsid w:val="00A40F7A"/>
    <w:rsid w:val="00A41275"/>
    <w:rsid w:val="00A41D2A"/>
    <w:rsid w:val="00A44594"/>
    <w:rsid w:val="00A447ED"/>
    <w:rsid w:val="00A44DFE"/>
    <w:rsid w:val="00A46824"/>
    <w:rsid w:val="00A500BE"/>
    <w:rsid w:val="00A501B7"/>
    <w:rsid w:val="00A5020E"/>
    <w:rsid w:val="00A51C54"/>
    <w:rsid w:val="00A524EF"/>
    <w:rsid w:val="00A52F2C"/>
    <w:rsid w:val="00A534A9"/>
    <w:rsid w:val="00A54D33"/>
    <w:rsid w:val="00A563D2"/>
    <w:rsid w:val="00A608AE"/>
    <w:rsid w:val="00A60986"/>
    <w:rsid w:val="00A60FD0"/>
    <w:rsid w:val="00A614F8"/>
    <w:rsid w:val="00A622BE"/>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77E89"/>
    <w:rsid w:val="00A812CB"/>
    <w:rsid w:val="00A82614"/>
    <w:rsid w:val="00A82752"/>
    <w:rsid w:val="00A82944"/>
    <w:rsid w:val="00A82E98"/>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8A"/>
    <w:rsid w:val="00A923F6"/>
    <w:rsid w:val="00A92830"/>
    <w:rsid w:val="00A92FFF"/>
    <w:rsid w:val="00A945B2"/>
    <w:rsid w:val="00A95C1D"/>
    <w:rsid w:val="00A968C1"/>
    <w:rsid w:val="00A96EE4"/>
    <w:rsid w:val="00A96FBD"/>
    <w:rsid w:val="00A978FD"/>
    <w:rsid w:val="00AA0B75"/>
    <w:rsid w:val="00AA0C0B"/>
    <w:rsid w:val="00AA3734"/>
    <w:rsid w:val="00AA3894"/>
    <w:rsid w:val="00AA4080"/>
    <w:rsid w:val="00AA4F73"/>
    <w:rsid w:val="00AA5954"/>
    <w:rsid w:val="00AA6CE0"/>
    <w:rsid w:val="00AB251C"/>
    <w:rsid w:val="00AB2E0E"/>
    <w:rsid w:val="00AB5832"/>
    <w:rsid w:val="00AB5DA9"/>
    <w:rsid w:val="00AC1167"/>
    <w:rsid w:val="00AC1901"/>
    <w:rsid w:val="00AC1992"/>
    <w:rsid w:val="00AC2CF6"/>
    <w:rsid w:val="00AC30B4"/>
    <w:rsid w:val="00AC359E"/>
    <w:rsid w:val="00AC4AC0"/>
    <w:rsid w:val="00AC4BFA"/>
    <w:rsid w:val="00AC6467"/>
    <w:rsid w:val="00AC71C1"/>
    <w:rsid w:val="00AC76FF"/>
    <w:rsid w:val="00AC7DCC"/>
    <w:rsid w:val="00AD001F"/>
    <w:rsid w:val="00AD065D"/>
    <w:rsid w:val="00AD4EF0"/>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4591"/>
    <w:rsid w:val="00B0528E"/>
    <w:rsid w:val="00B052D6"/>
    <w:rsid w:val="00B06578"/>
    <w:rsid w:val="00B0676F"/>
    <w:rsid w:val="00B069EB"/>
    <w:rsid w:val="00B069FE"/>
    <w:rsid w:val="00B07D53"/>
    <w:rsid w:val="00B07FEB"/>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4745"/>
    <w:rsid w:val="00B56114"/>
    <w:rsid w:val="00B60E69"/>
    <w:rsid w:val="00B6215E"/>
    <w:rsid w:val="00B621FB"/>
    <w:rsid w:val="00B6226A"/>
    <w:rsid w:val="00B63300"/>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1E56"/>
    <w:rsid w:val="00B93BE6"/>
    <w:rsid w:val="00B95EFF"/>
    <w:rsid w:val="00BA101E"/>
    <w:rsid w:val="00BA264D"/>
    <w:rsid w:val="00BA2682"/>
    <w:rsid w:val="00BA3039"/>
    <w:rsid w:val="00BA3DE2"/>
    <w:rsid w:val="00BA5637"/>
    <w:rsid w:val="00BA6C97"/>
    <w:rsid w:val="00BA7480"/>
    <w:rsid w:val="00BA7C7D"/>
    <w:rsid w:val="00BB08F3"/>
    <w:rsid w:val="00BB0FD4"/>
    <w:rsid w:val="00BB2128"/>
    <w:rsid w:val="00BB3FFB"/>
    <w:rsid w:val="00BB4B13"/>
    <w:rsid w:val="00BB62FF"/>
    <w:rsid w:val="00BB7226"/>
    <w:rsid w:val="00BB74FC"/>
    <w:rsid w:val="00BB76CC"/>
    <w:rsid w:val="00BB7744"/>
    <w:rsid w:val="00BB7D07"/>
    <w:rsid w:val="00BB7DC7"/>
    <w:rsid w:val="00BC037D"/>
    <w:rsid w:val="00BC24E5"/>
    <w:rsid w:val="00BC2BAB"/>
    <w:rsid w:val="00BC2E55"/>
    <w:rsid w:val="00BC3520"/>
    <w:rsid w:val="00BC457A"/>
    <w:rsid w:val="00BC47F7"/>
    <w:rsid w:val="00BC4C1C"/>
    <w:rsid w:val="00BC56A9"/>
    <w:rsid w:val="00BC5DAF"/>
    <w:rsid w:val="00BC62BA"/>
    <w:rsid w:val="00BC67B6"/>
    <w:rsid w:val="00BC711D"/>
    <w:rsid w:val="00BD0219"/>
    <w:rsid w:val="00BD10B2"/>
    <w:rsid w:val="00BD1A8A"/>
    <w:rsid w:val="00BD2DA6"/>
    <w:rsid w:val="00BD32DB"/>
    <w:rsid w:val="00BD7AB5"/>
    <w:rsid w:val="00BE0175"/>
    <w:rsid w:val="00BE09BA"/>
    <w:rsid w:val="00BE0EF8"/>
    <w:rsid w:val="00BE1DC2"/>
    <w:rsid w:val="00BE38D4"/>
    <w:rsid w:val="00BE3BE7"/>
    <w:rsid w:val="00BE3FD6"/>
    <w:rsid w:val="00BE424C"/>
    <w:rsid w:val="00BE5FC9"/>
    <w:rsid w:val="00BE5FF3"/>
    <w:rsid w:val="00BE605E"/>
    <w:rsid w:val="00BE6313"/>
    <w:rsid w:val="00BE6A36"/>
    <w:rsid w:val="00BE72F1"/>
    <w:rsid w:val="00BE7450"/>
    <w:rsid w:val="00BE7850"/>
    <w:rsid w:val="00BF00AD"/>
    <w:rsid w:val="00BF00B2"/>
    <w:rsid w:val="00BF0934"/>
    <w:rsid w:val="00BF1508"/>
    <w:rsid w:val="00BF33E5"/>
    <w:rsid w:val="00BF3E5E"/>
    <w:rsid w:val="00BF44DE"/>
    <w:rsid w:val="00BF470E"/>
    <w:rsid w:val="00BF4A64"/>
    <w:rsid w:val="00BF5637"/>
    <w:rsid w:val="00BF730D"/>
    <w:rsid w:val="00BF7926"/>
    <w:rsid w:val="00C008B5"/>
    <w:rsid w:val="00C009F9"/>
    <w:rsid w:val="00C0188B"/>
    <w:rsid w:val="00C018C3"/>
    <w:rsid w:val="00C01E17"/>
    <w:rsid w:val="00C01FC8"/>
    <w:rsid w:val="00C02651"/>
    <w:rsid w:val="00C029C0"/>
    <w:rsid w:val="00C046CA"/>
    <w:rsid w:val="00C048EE"/>
    <w:rsid w:val="00C050FF"/>
    <w:rsid w:val="00C06792"/>
    <w:rsid w:val="00C069E6"/>
    <w:rsid w:val="00C115DD"/>
    <w:rsid w:val="00C12A54"/>
    <w:rsid w:val="00C13C88"/>
    <w:rsid w:val="00C1414C"/>
    <w:rsid w:val="00C14642"/>
    <w:rsid w:val="00C1530E"/>
    <w:rsid w:val="00C17988"/>
    <w:rsid w:val="00C20C04"/>
    <w:rsid w:val="00C21FD1"/>
    <w:rsid w:val="00C22FBD"/>
    <w:rsid w:val="00C23A3C"/>
    <w:rsid w:val="00C23DB6"/>
    <w:rsid w:val="00C242D0"/>
    <w:rsid w:val="00C24943"/>
    <w:rsid w:val="00C264FF"/>
    <w:rsid w:val="00C266EA"/>
    <w:rsid w:val="00C26E75"/>
    <w:rsid w:val="00C278C5"/>
    <w:rsid w:val="00C30B73"/>
    <w:rsid w:val="00C31D8A"/>
    <w:rsid w:val="00C32748"/>
    <w:rsid w:val="00C328AB"/>
    <w:rsid w:val="00C32CA4"/>
    <w:rsid w:val="00C33002"/>
    <w:rsid w:val="00C34215"/>
    <w:rsid w:val="00C34216"/>
    <w:rsid w:val="00C344A6"/>
    <w:rsid w:val="00C3475D"/>
    <w:rsid w:val="00C35012"/>
    <w:rsid w:val="00C35346"/>
    <w:rsid w:val="00C354D0"/>
    <w:rsid w:val="00C35B00"/>
    <w:rsid w:val="00C3610C"/>
    <w:rsid w:val="00C37613"/>
    <w:rsid w:val="00C3794A"/>
    <w:rsid w:val="00C41C6C"/>
    <w:rsid w:val="00C437F1"/>
    <w:rsid w:val="00C43876"/>
    <w:rsid w:val="00C449AA"/>
    <w:rsid w:val="00C45030"/>
    <w:rsid w:val="00C457C6"/>
    <w:rsid w:val="00C46122"/>
    <w:rsid w:val="00C46D5B"/>
    <w:rsid w:val="00C47300"/>
    <w:rsid w:val="00C479E6"/>
    <w:rsid w:val="00C51367"/>
    <w:rsid w:val="00C5178A"/>
    <w:rsid w:val="00C51E48"/>
    <w:rsid w:val="00C53920"/>
    <w:rsid w:val="00C552E0"/>
    <w:rsid w:val="00C555C1"/>
    <w:rsid w:val="00C55A5A"/>
    <w:rsid w:val="00C57F3E"/>
    <w:rsid w:val="00C6194C"/>
    <w:rsid w:val="00C61ABA"/>
    <w:rsid w:val="00C622C1"/>
    <w:rsid w:val="00C626F5"/>
    <w:rsid w:val="00C630D1"/>
    <w:rsid w:val="00C63433"/>
    <w:rsid w:val="00C6386D"/>
    <w:rsid w:val="00C6669B"/>
    <w:rsid w:val="00C66E2F"/>
    <w:rsid w:val="00C71051"/>
    <w:rsid w:val="00C714B1"/>
    <w:rsid w:val="00C73BB6"/>
    <w:rsid w:val="00C73EFA"/>
    <w:rsid w:val="00C7510C"/>
    <w:rsid w:val="00C75ECE"/>
    <w:rsid w:val="00C772C1"/>
    <w:rsid w:val="00C77B25"/>
    <w:rsid w:val="00C806B5"/>
    <w:rsid w:val="00C80CD8"/>
    <w:rsid w:val="00C82393"/>
    <w:rsid w:val="00C825C3"/>
    <w:rsid w:val="00C82F7B"/>
    <w:rsid w:val="00C849F3"/>
    <w:rsid w:val="00C84C5E"/>
    <w:rsid w:val="00C85414"/>
    <w:rsid w:val="00C8562F"/>
    <w:rsid w:val="00C85D2E"/>
    <w:rsid w:val="00C8632F"/>
    <w:rsid w:val="00C90104"/>
    <w:rsid w:val="00C909F5"/>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271D"/>
    <w:rsid w:val="00CB3BF5"/>
    <w:rsid w:val="00CB46E3"/>
    <w:rsid w:val="00CB4DA0"/>
    <w:rsid w:val="00CB4E2D"/>
    <w:rsid w:val="00CB4E7A"/>
    <w:rsid w:val="00CB4EB3"/>
    <w:rsid w:val="00CB5FB6"/>
    <w:rsid w:val="00CC0C6E"/>
    <w:rsid w:val="00CC12EE"/>
    <w:rsid w:val="00CC133F"/>
    <w:rsid w:val="00CC1EAD"/>
    <w:rsid w:val="00CC1F87"/>
    <w:rsid w:val="00CC2696"/>
    <w:rsid w:val="00CC5401"/>
    <w:rsid w:val="00CC5EDA"/>
    <w:rsid w:val="00CC728E"/>
    <w:rsid w:val="00CC7B9A"/>
    <w:rsid w:val="00CD00FF"/>
    <w:rsid w:val="00CD113A"/>
    <w:rsid w:val="00CD205A"/>
    <w:rsid w:val="00CD21AB"/>
    <w:rsid w:val="00CD46DB"/>
    <w:rsid w:val="00CD4ACC"/>
    <w:rsid w:val="00CD5568"/>
    <w:rsid w:val="00CD6583"/>
    <w:rsid w:val="00CD697A"/>
    <w:rsid w:val="00CD6AA4"/>
    <w:rsid w:val="00CD6FFE"/>
    <w:rsid w:val="00CD7281"/>
    <w:rsid w:val="00CE0779"/>
    <w:rsid w:val="00CE0E3F"/>
    <w:rsid w:val="00CE2631"/>
    <w:rsid w:val="00CE30D3"/>
    <w:rsid w:val="00CE33C6"/>
    <w:rsid w:val="00CE3A78"/>
    <w:rsid w:val="00CE3EF3"/>
    <w:rsid w:val="00CE54B0"/>
    <w:rsid w:val="00CE5754"/>
    <w:rsid w:val="00CE5F5F"/>
    <w:rsid w:val="00CE62B9"/>
    <w:rsid w:val="00CE7D04"/>
    <w:rsid w:val="00CF05BF"/>
    <w:rsid w:val="00CF08D0"/>
    <w:rsid w:val="00CF108C"/>
    <w:rsid w:val="00CF124C"/>
    <w:rsid w:val="00CF1468"/>
    <w:rsid w:val="00CF1FB7"/>
    <w:rsid w:val="00CF20B6"/>
    <w:rsid w:val="00CF29DE"/>
    <w:rsid w:val="00CF369D"/>
    <w:rsid w:val="00CF5441"/>
    <w:rsid w:val="00CF5C64"/>
    <w:rsid w:val="00CF73B2"/>
    <w:rsid w:val="00CF7ED8"/>
    <w:rsid w:val="00D015C7"/>
    <w:rsid w:val="00D01813"/>
    <w:rsid w:val="00D01D49"/>
    <w:rsid w:val="00D02D79"/>
    <w:rsid w:val="00D04252"/>
    <w:rsid w:val="00D04734"/>
    <w:rsid w:val="00D04BC7"/>
    <w:rsid w:val="00D04E1B"/>
    <w:rsid w:val="00D0599B"/>
    <w:rsid w:val="00D059E1"/>
    <w:rsid w:val="00D0667E"/>
    <w:rsid w:val="00D070E7"/>
    <w:rsid w:val="00D1018B"/>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58A1"/>
    <w:rsid w:val="00D37336"/>
    <w:rsid w:val="00D37F00"/>
    <w:rsid w:val="00D416B5"/>
    <w:rsid w:val="00D42870"/>
    <w:rsid w:val="00D42993"/>
    <w:rsid w:val="00D4469C"/>
    <w:rsid w:val="00D45241"/>
    <w:rsid w:val="00D45E54"/>
    <w:rsid w:val="00D4641D"/>
    <w:rsid w:val="00D4678A"/>
    <w:rsid w:val="00D479A6"/>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670B5"/>
    <w:rsid w:val="00D6764C"/>
    <w:rsid w:val="00D709DA"/>
    <w:rsid w:val="00D70D7F"/>
    <w:rsid w:val="00D71AE8"/>
    <w:rsid w:val="00D72479"/>
    <w:rsid w:val="00D72607"/>
    <w:rsid w:val="00D72E12"/>
    <w:rsid w:val="00D7349E"/>
    <w:rsid w:val="00D7387E"/>
    <w:rsid w:val="00D74AE9"/>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60C7"/>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4CBA"/>
    <w:rsid w:val="00DB5050"/>
    <w:rsid w:val="00DB64AA"/>
    <w:rsid w:val="00DB6D5B"/>
    <w:rsid w:val="00DC0875"/>
    <w:rsid w:val="00DC0D99"/>
    <w:rsid w:val="00DC1FE8"/>
    <w:rsid w:val="00DC2A97"/>
    <w:rsid w:val="00DC2AB8"/>
    <w:rsid w:val="00DC36C0"/>
    <w:rsid w:val="00DC3E65"/>
    <w:rsid w:val="00DC44E6"/>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79"/>
    <w:rsid w:val="00E055C3"/>
    <w:rsid w:val="00E06F16"/>
    <w:rsid w:val="00E07283"/>
    <w:rsid w:val="00E10336"/>
    <w:rsid w:val="00E1073D"/>
    <w:rsid w:val="00E10A2E"/>
    <w:rsid w:val="00E11C83"/>
    <w:rsid w:val="00E120A2"/>
    <w:rsid w:val="00E13151"/>
    <w:rsid w:val="00E142D2"/>
    <w:rsid w:val="00E1562E"/>
    <w:rsid w:val="00E16CE9"/>
    <w:rsid w:val="00E16E16"/>
    <w:rsid w:val="00E1713E"/>
    <w:rsid w:val="00E17455"/>
    <w:rsid w:val="00E17DC7"/>
    <w:rsid w:val="00E21495"/>
    <w:rsid w:val="00E22059"/>
    <w:rsid w:val="00E222DB"/>
    <w:rsid w:val="00E226A5"/>
    <w:rsid w:val="00E226F9"/>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4CCD"/>
    <w:rsid w:val="00E3639D"/>
    <w:rsid w:val="00E3700A"/>
    <w:rsid w:val="00E37D66"/>
    <w:rsid w:val="00E40BCE"/>
    <w:rsid w:val="00E41F29"/>
    <w:rsid w:val="00E43599"/>
    <w:rsid w:val="00E43EA4"/>
    <w:rsid w:val="00E44B57"/>
    <w:rsid w:val="00E45E17"/>
    <w:rsid w:val="00E45EFE"/>
    <w:rsid w:val="00E51351"/>
    <w:rsid w:val="00E537A2"/>
    <w:rsid w:val="00E5381F"/>
    <w:rsid w:val="00E53FE7"/>
    <w:rsid w:val="00E5472D"/>
    <w:rsid w:val="00E5554B"/>
    <w:rsid w:val="00E56407"/>
    <w:rsid w:val="00E5709A"/>
    <w:rsid w:val="00E57E3D"/>
    <w:rsid w:val="00E60A70"/>
    <w:rsid w:val="00E62258"/>
    <w:rsid w:val="00E62636"/>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300"/>
    <w:rsid w:val="00E80B85"/>
    <w:rsid w:val="00E818A0"/>
    <w:rsid w:val="00E81E59"/>
    <w:rsid w:val="00E828DB"/>
    <w:rsid w:val="00E82C86"/>
    <w:rsid w:val="00E83A7D"/>
    <w:rsid w:val="00E8441B"/>
    <w:rsid w:val="00E849E9"/>
    <w:rsid w:val="00E84B6F"/>
    <w:rsid w:val="00E85111"/>
    <w:rsid w:val="00E85BEA"/>
    <w:rsid w:val="00E86225"/>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260"/>
    <w:rsid w:val="00EA2A7C"/>
    <w:rsid w:val="00EA33A0"/>
    <w:rsid w:val="00EA36BD"/>
    <w:rsid w:val="00EA435A"/>
    <w:rsid w:val="00EA5A48"/>
    <w:rsid w:val="00EA5EC1"/>
    <w:rsid w:val="00EA62F4"/>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342"/>
    <w:rsid w:val="00ED6C06"/>
    <w:rsid w:val="00ED7067"/>
    <w:rsid w:val="00ED71FB"/>
    <w:rsid w:val="00EE0926"/>
    <w:rsid w:val="00EE2B0D"/>
    <w:rsid w:val="00EE3DFF"/>
    <w:rsid w:val="00EE5040"/>
    <w:rsid w:val="00EE53A1"/>
    <w:rsid w:val="00EE7AFA"/>
    <w:rsid w:val="00EF25F5"/>
    <w:rsid w:val="00EF2D5A"/>
    <w:rsid w:val="00EF2EF4"/>
    <w:rsid w:val="00EF3642"/>
    <w:rsid w:val="00EF4168"/>
    <w:rsid w:val="00EF53BE"/>
    <w:rsid w:val="00EF618A"/>
    <w:rsid w:val="00EF72D9"/>
    <w:rsid w:val="00EF7690"/>
    <w:rsid w:val="00EF7D90"/>
    <w:rsid w:val="00F00804"/>
    <w:rsid w:val="00F00FC4"/>
    <w:rsid w:val="00F02EC6"/>
    <w:rsid w:val="00F03B91"/>
    <w:rsid w:val="00F0523E"/>
    <w:rsid w:val="00F0588F"/>
    <w:rsid w:val="00F05AF8"/>
    <w:rsid w:val="00F05FCB"/>
    <w:rsid w:val="00F06313"/>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0FB"/>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7E2"/>
    <w:rsid w:val="00F81D40"/>
    <w:rsid w:val="00F81EBF"/>
    <w:rsid w:val="00F8292F"/>
    <w:rsid w:val="00F836FC"/>
    <w:rsid w:val="00F8370D"/>
    <w:rsid w:val="00F83B52"/>
    <w:rsid w:val="00F85728"/>
    <w:rsid w:val="00F857C0"/>
    <w:rsid w:val="00F8631D"/>
    <w:rsid w:val="00F866E3"/>
    <w:rsid w:val="00F879E7"/>
    <w:rsid w:val="00F90107"/>
    <w:rsid w:val="00F903D1"/>
    <w:rsid w:val="00F918A8"/>
    <w:rsid w:val="00F94AA1"/>
    <w:rsid w:val="00F95080"/>
    <w:rsid w:val="00F952EB"/>
    <w:rsid w:val="00F96474"/>
    <w:rsid w:val="00F971F3"/>
    <w:rsid w:val="00F97DC2"/>
    <w:rsid w:val="00F97E6D"/>
    <w:rsid w:val="00FA0168"/>
    <w:rsid w:val="00FA1AFC"/>
    <w:rsid w:val="00FA2669"/>
    <w:rsid w:val="00FA496E"/>
    <w:rsid w:val="00FA4C13"/>
    <w:rsid w:val="00FA5A65"/>
    <w:rsid w:val="00FA5B23"/>
    <w:rsid w:val="00FA605F"/>
    <w:rsid w:val="00FA64FE"/>
    <w:rsid w:val="00FA6507"/>
    <w:rsid w:val="00FA6805"/>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034A"/>
    <w:rsid w:val="00FD2D76"/>
    <w:rsid w:val="00FD3671"/>
    <w:rsid w:val="00FD43B1"/>
    <w:rsid w:val="00FD4731"/>
    <w:rsid w:val="00FD5B20"/>
    <w:rsid w:val="00FD7E4E"/>
    <w:rsid w:val="00FE2438"/>
    <w:rsid w:val="00FE376A"/>
    <w:rsid w:val="00FE42F2"/>
    <w:rsid w:val="00FE6B6F"/>
    <w:rsid w:val="00FF0874"/>
    <w:rsid w:val="00FF12A0"/>
    <w:rsid w:val="00FF1E3E"/>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A89E3"/>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A264D2"/>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8A4B5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rsid w:val="008A4B5A"/>
    <w:rPr>
      <w:rFonts w:asciiTheme="majorHAnsi" w:eastAsiaTheme="majorEastAsia" w:hAnsiTheme="majorHAnsi" w:cstheme="majorBidi"/>
      <w:i/>
      <w:iCs/>
      <w:color w:val="2E74B5" w:themeColor="accent1" w:themeShade="BF"/>
      <w:sz w:val="20"/>
      <w:szCs w:val="20"/>
      <w:lang w:val="en-GB" w:eastAsia="ko-KR"/>
    </w:rPr>
  </w:style>
  <w:style w:type="paragraph" w:customStyle="1" w:styleId="RAN4Proposal">
    <w:name w:val="RAN4 Proposal"/>
    <w:basedOn w:val="ListParagraph"/>
    <w:next w:val="Normal"/>
    <w:qFormat/>
    <w:rsid w:val="008A4B5A"/>
    <w:pPr>
      <w:numPr>
        <w:numId w:val="6"/>
      </w:numPr>
      <w:overflowPunct/>
      <w:autoSpaceDE/>
      <w:autoSpaceDN/>
      <w:adjustRightInd/>
      <w:spacing w:after="160" w:line="259" w:lineRule="auto"/>
      <w:ind w:firstLine="0"/>
      <w:textAlignment w:val="auto"/>
    </w:pPr>
    <w:rPr>
      <w:rFonts w:eastAsia="Calibri"/>
      <w:b/>
      <w:lang w:eastAsia="en-US"/>
    </w:rPr>
  </w:style>
  <w:style w:type="paragraph" w:styleId="BodyText">
    <w:name w:val="Body Text"/>
    <w:basedOn w:val="Normal"/>
    <w:link w:val="BodyTextChar"/>
    <w:qFormat/>
    <w:rsid w:val="00EA2260"/>
    <w:pPr>
      <w:overflowPunct/>
      <w:autoSpaceDE/>
      <w:autoSpaceDN/>
      <w:adjustRightInd/>
      <w:spacing w:line="259" w:lineRule="auto"/>
      <w:textAlignment w:val="auto"/>
    </w:pPr>
    <w:rPr>
      <w:rFonts w:eastAsia="SimSun"/>
      <w:lang w:eastAsia="en-US"/>
    </w:rPr>
  </w:style>
  <w:style w:type="character" w:customStyle="1" w:styleId="BodyTextChar">
    <w:name w:val="Body Text Char"/>
    <w:basedOn w:val="DefaultParagraphFont"/>
    <w:link w:val="BodyText"/>
    <w:qFormat/>
    <w:rsid w:val="00EA2260"/>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422322"/>
    <w:pPr>
      <w:numPr>
        <w:numId w:val="21"/>
      </w:numPr>
      <w:tabs>
        <w:tab w:val="num" w:pos="1620"/>
      </w:tabs>
      <w:overflowPunct/>
      <w:autoSpaceDE/>
      <w:autoSpaceDN/>
      <w:adjustRightInd/>
      <w:spacing w:before="60" w:after="0"/>
      <w:ind w:left="1620"/>
      <w:textAlignment w:val="auto"/>
    </w:pPr>
    <w:rPr>
      <w:rFonts w:ascii="Arial" w:eastAsia="MS Mincho" w:hAnsi="Arial"/>
      <w:b/>
      <w:szCs w:val="24"/>
      <w:lang w:eastAsia="en-GB"/>
    </w:rPr>
  </w:style>
  <w:style w:type="paragraph" w:styleId="ListBullet4">
    <w:name w:val="List Bullet 4"/>
    <w:basedOn w:val="ListBullet3"/>
    <w:qFormat/>
    <w:rsid w:val="004F5DBD"/>
    <w:pPr>
      <w:numPr>
        <w:numId w:val="0"/>
      </w:numPr>
      <w:overflowPunct/>
      <w:autoSpaceDE/>
      <w:autoSpaceDN/>
      <w:adjustRightInd/>
      <w:spacing w:line="259" w:lineRule="auto"/>
      <w:ind w:left="1418" w:hanging="284"/>
      <w:contextualSpacing w:val="0"/>
      <w:textAlignment w:val="auto"/>
    </w:pPr>
    <w:rPr>
      <w:rFonts w:eastAsia="SimSun"/>
      <w:lang w:eastAsia="en-US"/>
    </w:rPr>
  </w:style>
  <w:style w:type="paragraph" w:styleId="ListBullet3">
    <w:name w:val="List Bullet 3"/>
    <w:basedOn w:val="Normal"/>
    <w:uiPriority w:val="99"/>
    <w:semiHidden/>
    <w:unhideWhenUsed/>
    <w:rsid w:val="004F5DBD"/>
    <w:pPr>
      <w:numPr>
        <w:numId w:val="35"/>
      </w:numPr>
      <w:contextualSpacing/>
    </w:pPr>
  </w:style>
  <w:style w:type="character" w:customStyle="1" w:styleId="Heading3Char">
    <w:name w:val="Heading 3 Char"/>
    <w:basedOn w:val="DefaultParagraphFont"/>
    <w:link w:val="Heading3"/>
    <w:uiPriority w:val="9"/>
    <w:semiHidden/>
    <w:rsid w:val="00A264D2"/>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38649123">
      <w:bodyDiv w:val="1"/>
      <w:marLeft w:val="0"/>
      <w:marRight w:val="0"/>
      <w:marTop w:val="0"/>
      <w:marBottom w:val="0"/>
      <w:divBdr>
        <w:top w:val="none" w:sz="0" w:space="0" w:color="auto"/>
        <w:left w:val="none" w:sz="0" w:space="0" w:color="auto"/>
        <w:bottom w:val="none" w:sz="0" w:space="0" w:color="auto"/>
        <w:right w:val="none" w:sz="0" w:space="0" w:color="auto"/>
      </w:divBdr>
      <w:divsChild>
        <w:div w:id="2052727305">
          <w:marLeft w:val="547"/>
          <w:marRight w:val="0"/>
          <w:marTop w:val="130"/>
          <w:marBottom w:val="0"/>
          <w:divBdr>
            <w:top w:val="none" w:sz="0" w:space="0" w:color="auto"/>
            <w:left w:val="none" w:sz="0" w:space="0" w:color="auto"/>
            <w:bottom w:val="none" w:sz="0" w:space="0" w:color="auto"/>
            <w:right w:val="none" w:sz="0" w:space="0" w:color="auto"/>
          </w:divBdr>
        </w:div>
        <w:div w:id="1283926039">
          <w:marLeft w:val="1166"/>
          <w:marRight w:val="0"/>
          <w:marTop w:val="115"/>
          <w:marBottom w:val="0"/>
          <w:divBdr>
            <w:top w:val="none" w:sz="0" w:space="0" w:color="auto"/>
            <w:left w:val="none" w:sz="0" w:space="0" w:color="auto"/>
            <w:bottom w:val="none" w:sz="0" w:space="0" w:color="auto"/>
            <w:right w:val="none" w:sz="0" w:space="0" w:color="auto"/>
          </w:divBdr>
        </w:div>
        <w:div w:id="1244560245">
          <w:marLeft w:val="1166"/>
          <w:marRight w:val="0"/>
          <w:marTop w:val="115"/>
          <w:marBottom w:val="0"/>
          <w:divBdr>
            <w:top w:val="none" w:sz="0" w:space="0" w:color="auto"/>
            <w:left w:val="none" w:sz="0" w:space="0" w:color="auto"/>
            <w:bottom w:val="none" w:sz="0" w:space="0" w:color="auto"/>
            <w:right w:val="none" w:sz="0" w:space="0" w:color="auto"/>
          </w:divBdr>
        </w:div>
        <w:div w:id="345667902">
          <w:marLeft w:val="1800"/>
          <w:marRight w:val="0"/>
          <w:marTop w:val="96"/>
          <w:marBottom w:val="0"/>
          <w:divBdr>
            <w:top w:val="none" w:sz="0" w:space="0" w:color="auto"/>
            <w:left w:val="none" w:sz="0" w:space="0" w:color="auto"/>
            <w:bottom w:val="none" w:sz="0" w:space="0" w:color="auto"/>
            <w:right w:val="none" w:sz="0" w:space="0" w:color="auto"/>
          </w:divBdr>
        </w:div>
        <w:div w:id="825777358">
          <w:marLeft w:val="1166"/>
          <w:marRight w:val="0"/>
          <w:marTop w:val="115"/>
          <w:marBottom w:val="0"/>
          <w:divBdr>
            <w:top w:val="none" w:sz="0" w:space="0" w:color="auto"/>
            <w:left w:val="none" w:sz="0" w:space="0" w:color="auto"/>
            <w:bottom w:val="none" w:sz="0" w:space="0" w:color="auto"/>
            <w:right w:val="none" w:sz="0" w:space="0" w:color="auto"/>
          </w:divBdr>
        </w:div>
        <w:div w:id="471673172">
          <w:marLeft w:val="1800"/>
          <w:marRight w:val="0"/>
          <w:marTop w:val="96"/>
          <w:marBottom w:val="0"/>
          <w:divBdr>
            <w:top w:val="none" w:sz="0" w:space="0" w:color="auto"/>
            <w:left w:val="none" w:sz="0" w:space="0" w:color="auto"/>
            <w:bottom w:val="none" w:sz="0" w:space="0" w:color="auto"/>
            <w:right w:val="none" w:sz="0" w:space="0" w:color="auto"/>
          </w:divBdr>
        </w:div>
        <w:div w:id="1882981187">
          <w:marLeft w:val="1800"/>
          <w:marRight w:val="0"/>
          <w:marTop w:val="96"/>
          <w:marBottom w:val="0"/>
          <w:divBdr>
            <w:top w:val="none" w:sz="0" w:space="0" w:color="auto"/>
            <w:left w:val="none" w:sz="0" w:space="0" w:color="auto"/>
            <w:bottom w:val="none" w:sz="0" w:space="0" w:color="auto"/>
            <w:right w:val="none" w:sz="0" w:space="0" w:color="auto"/>
          </w:divBdr>
        </w:div>
        <w:div w:id="149103883">
          <w:marLeft w:val="1800"/>
          <w:marRight w:val="0"/>
          <w:marTop w:val="96"/>
          <w:marBottom w:val="0"/>
          <w:divBdr>
            <w:top w:val="none" w:sz="0" w:space="0" w:color="auto"/>
            <w:left w:val="none" w:sz="0" w:space="0" w:color="auto"/>
            <w:bottom w:val="none" w:sz="0" w:space="0" w:color="auto"/>
            <w:right w:val="none" w:sz="0" w:space="0" w:color="auto"/>
          </w:divBdr>
        </w:div>
      </w:divsChild>
    </w:div>
    <w:div w:id="454104224">
      <w:bodyDiv w:val="1"/>
      <w:marLeft w:val="0"/>
      <w:marRight w:val="0"/>
      <w:marTop w:val="0"/>
      <w:marBottom w:val="0"/>
      <w:divBdr>
        <w:top w:val="none" w:sz="0" w:space="0" w:color="auto"/>
        <w:left w:val="none" w:sz="0" w:space="0" w:color="auto"/>
        <w:bottom w:val="none" w:sz="0" w:space="0" w:color="auto"/>
        <w:right w:val="none" w:sz="0" w:space="0" w:color="auto"/>
      </w:divBdr>
      <w:divsChild>
        <w:div w:id="1699820192">
          <w:marLeft w:val="547"/>
          <w:marRight w:val="0"/>
          <w:marTop w:val="130"/>
          <w:marBottom w:val="0"/>
          <w:divBdr>
            <w:top w:val="none" w:sz="0" w:space="0" w:color="auto"/>
            <w:left w:val="none" w:sz="0" w:space="0" w:color="auto"/>
            <w:bottom w:val="none" w:sz="0" w:space="0" w:color="auto"/>
            <w:right w:val="none" w:sz="0" w:space="0" w:color="auto"/>
          </w:divBdr>
        </w:div>
        <w:div w:id="2099324593">
          <w:marLeft w:val="1166"/>
          <w:marRight w:val="0"/>
          <w:marTop w:val="115"/>
          <w:marBottom w:val="0"/>
          <w:divBdr>
            <w:top w:val="none" w:sz="0" w:space="0" w:color="auto"/>
            <w:left w:val="none" w:sz="0" w:space="0" w:color="auto"/>
            <w:bottom w:val="none" w:sz="0" w:space="0" w:color="auto"/>
            <w:right w:val="none" w:sz="0" w:space="0" w:color="auto"/>
          </w:divBdr>
        </w:div>
        <w:div w:id="1059281590">
          <w:marLeft w:val="1166"/>
          <w:marRight w:val="0"/>
          <w:marTop w:val="115"/>
          <w:marBottom w:val="0"/>
          <w:divBdr>
            <w:top w:val="none" w:sz="0" w:space="0" w:color="auto"/>
            <w:left w:val="none" w:sz="0" w:space="0" w:color="auto"/>
            <w:bottom w:val="none" w:sz="0" w:space="0" w:color="auto"/>
            <w:right w:val="none" w:sz="0" w:space="0" w:color="auto"/>
          </w:divBdr>
        </w:div>
        <w:div w:id="427191405">
          <w:marLeft w:val="1166"/>
          <w:marRight w:val="0"/>
          <w:marTop w:val="115"/>
          <w:marBottom w:val="0"/>
          <w:divBdr>
            <w:top w:val="none" w:sz="0" w:space="0" w:color="auto"/>
            <w:left w:val="none" w:sz="0" w:space="0" w:color="auto"/>
            <w:bottom w:val="none" w:sz="0" w:space="0" w:color="auto"/>
            <w:right w:val="none" w:sz="0" w:space="0" w:color="auto"/>
          </w:divBdr>
        </w:div>
        <w:div w:id="176163214">
          <w:marLeft w:val="547"/>
          <w:marRight w:val="0"/>
          <w:marTop w:val="130"/>
          <w:marBottom w:val="0"/>
          <w:divBdr>
            <w:top w:val="none" w:sz="0" w:space="0" w:color="auto"/>
            <w:left w:val="none" w:sz="0" w:space="0" w:color="auto"/>
            <w:bottom w:val="none" w:sz="0" w:space="0" w:color="auto"/>
            <w:right w:val="none" w:sz="0" w:space="0" w:color="auto"/>
          </w:divBdr>
        </w:div>
        <w:div w:id="884028676">
          <w:marLeft w:val="1166"/>
          <w:marRight w:val="0"/>
          <w:marTop w:val="115"/>
          <w:marBottom w:val="0"/>
          <w:divBdr>
            <w:top w:val="none" w:sz="0" w:space="0" w:color="auto"/>
            <w:left w:val="none" w:sz="0" w:space="0" w:color="auto"/>
            <w:bottom w:val="none" w:sz="0" w:space="0" w:color="auto"/>
            <w:right w:val="none" w:sz="0" w:space="0" w:color="auto"/>
          </w:divBdr>
        </w:div>
        <w:div w:id="44527738">
          <w:marLeft w:val="1166"/>
          <w:marRight w:val="0"/>
          <w:marTop w:val="115"/>
          <w:marBottom w:val="0"/>
          <w:divBdr>
            <w:top w:val="none" w:sz="0" w:space="0" w:color="auto"/>
            <w:left w:val="none" w:sz="0" w:space="0" w:color="auto"/>
            <w:bottom w:val="none" w:sz="0" w:space="0" w:color="auto"/>
            <w:right w:val="none" w:sz="0" w:space="0" w:color="auto"/>
          </w:divBdr>
        </w:div>
        <w:div w:id="230192637">
          <w:marLeft w:val="1166"/>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62318324">
      <w:bodyDiv w:val="1"/>
      <w:marLeft w:val="0"/>
      <w:marRight w:val="0"/>
      <w:marTop w:val="0"/>
      <w:marBottom w:val="0"/>
      <w:divBdr>
        <w:top w:val="none" w:sz="0" w:space="0" w:color="auto"/>
        <w:left w:val="none" w:sz="0" w:space="0" w:color="auto"/>
        <w:bottom w:val="none" w:sz="0" w:space="0" w:color="auto"/>
        <w:right w:val="none" w:sz="0" w:space="0" w:color="auto"/>
      </w:divBdr>
      <w:divsChild>
        <w:div w:id="906308360">
          <w:marLeft w:val="547"/>
          <w:marRight w:val="0"/>
          <w:marTop w:val="144"/>
          <w:marBottom w:val="0"/>
          <w:divBdr>
            <w:top w:val="none" w:sz="0" w:space="0" w:color="auto"/>
            <w:left w:val="none" w:sz="0" w:space="0" w:color="auto"/>
            <w:bottom w:val="none" w:sz="0" w:space="0" w:color="auto"/>
            <w:right w:val="none" w:sz="0" w:space="0" w:color="auto"/>
          </w:divBdr>
        </w:div>
        <w:div w:id="654920176">
          <w:marLeft w:val="1166"/>
          <w:marRight w:val="0"/>
          <w:marTop w:val="144"/>
          <w:marBottom w:val="0"/>
          <w:divBdr>
            <w:top w:val="none" w:sz="0" w:space="0" w:color="auto"/>
            <w:left w:val="none" w:sz="0" w:space="0" w:color="auto"/>
            <w:bottom w:val="none" w:sz="0" w:space="0" w:color="auto"/>
            <w:right w:val="none" w:sz="0" w:space="0" w:color="auto"/>
          </w:divBdr>
        </w:div>
        <w:div w:id="1668359416">
          <w:marLeft w:val="547"/>
          <w:marRight w:val="0"/>
          <w:marTop w:val="144"/>
          <w:marBottom w:val="0"/>
          <w:divBdr>
            <w:top w:val="none" w:sz="0" w:space="0" w:color="auto"/>
            <w:left w:val="none" w:sz="0" w:space="0" w:color="auto"/>
            <w:bottom w:val="none" w:sz="0" w:space="0" w:color="auto"/>
            <w:right w:val="none" w:sz="0" w:space="0" w:color="auto"/>
          </w:divBdr>
        </w:div>
        <w:div w:id="892928848">
          <w:marLeft w:val="547"/>
          <w:marRight w:val="0"/>
          <w:marTop w:val="144"/>
          <w:marBottom w:val="0"/>
          <w:divBdr>
            <w:top w:val="none" w:sz="0" w:space="0" w:color="auto"/>
            <w:left w:val="none" w:sz="0" w:space="0" w:color="auto"/>
            <w:bottom w:val="none" w:sz="0" w:space="0" w:color="auto"/>
            <w:right w:val="none" w:sz="0" w:space="0" w:color="auto"/>
          </w:divBdr>
        </w:div>
        <w:div w:id="1312172594">
          <w:marLeft w:val="547"/>
          <w:marRight w:val="0"/>
          <w:marTop w:val="144"/>
          <w:marBottom w:val="0"/>
          <w:divBdr>
            <w:top w:val="none" w:sz="0" w:space="0" w:color="auto"/>
            <w:left w:val="none" w:sz="0" w:space="0" w:color="auto"/>
            <w:bottom w:val="none" w:sz="0" w:space="0" w:color="auto"/>
            <w:right w:val="none" w:sz="0" w:space="0" w:color="auto"/>
          </w:divBdr>
        </w:div>
        <w:div w:id="1961373567">
          <w:marLeft w:val="547"/>
          <w:marRight w:val="0"/>
          <w:marTop w:val="149"/>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6874134">
      <w:bodyDiv w:val="1"/>
      <w:marLeft w:val="0"/>
      <w:marRight w:val="0"/>
      <w:marTop w:val="0"/>
      <w:marBottom w:val="0"/>
      <w:divBdr>
        <w:top w:val="none" w:sz="0" w:space="0" w:color="auto"/>
        <w:left w:val="none" w:sz="0" w:space="0" w:color="auto"/>
        <w:bottom w:val="none" w:sz="0" w:space="0" w:color="auto"/>
        <w:right w:val="none" w:sz="0" w:space="0" w:color="auto"/>
      </w:divBdr>
      <w:divsChild>
        <w:div w:id="999889362">
          <w:marLeft w:val="547"/>
          <w:marRight w:val="0"/>
          <w:marTop w:val="91"/>
          <w:marBottom w:val="0"/>
          <w:divBdr>
            <w:top w:val="none" w:sz="0" w:space="0" w:color="auto"/>
            <w:left w:val="none" w:sz="0" w:space="0" w:color="auto"/>
            <w:bottom w:val="none" w:sz="0" w:space="0" w:color="auto"/>
            <w:right w:val="none" w:sz="0" w:space="0" w:color="auto"/>
          </w:divBdr>
        </w:div>
        <w:div w:id="1163667160">
          <w:marLeft w:val="1166"/>
          <w:marRight w:val="0"/>
          <w:marTop w:val="72"/>
          <w:marBottom w:val="0"/>
          <w:divBdr>
            <w:top w:val="none" w:sz="0" w:space="0" w:color="auto"/>
            <w:left w:val="none" w:sz="0" w:space="0" w:color="auto"/>
            <w:bottom w:val="none" w:sz="0" w:space="0" w:color="auto"/>
            <w:right w:val="none" w:sz="0" w:space="0" w:color="auto"/>
          </w:divBdr>
        </w:div>
        <w:div w:id="1263149839">
          <w:marLeft w:val="1166"/>
          <w:marRight w:val="0"/>
          <w:marTop w:val="72"/>
          <w:marBottom w:val="0"/>
          <w:divBdr>
            <w:top w:val="none" w:sz="0" w:space="0" w:color="auto"/>
            <w:left w:val="none" w:sz="0" w:space="0" w:color="auto"/>
            <w:bottom w:val="none" w:sz="0" w:space="0" w:color="auto"/>
            <w:right w:val="none" w:sz="0" w:space="0" w:color="auto"/>
          </w:divBdr>
        </w:div>
        <w:div w:id="1117404626">
          <w:marLeft w:val="1166"/>
          <w:marRight w:val="0"/>
          <w:marTop w:val="72"/>
          <w:marBottom w:val="0"/>
          <w:divBdr>
            <w:top w:val="none" w:sz="0" w:space="0" w:color="auto"/>
            <w:left w:val="none" w:sz="0" w:space="0" w:color="auto"/>
            <w:bottom w:val="none" w:sz="0" w:space="0" w:color="auto"/>
            <w:right w:val="none" w:sz="0" w:space="0" w:color="auto"/>
          </w:divBdr>
        </w:div>
        <w:div w:id="1622764182">
          <w:marLeft w:val="1166"/>
          <w:marRight w:val="0"/>
          <w:marTop w:val="72"/>
          <w:marBottom w:val="0"/>
          <w:divBdr>
            <w:top w:val="none" w:sz="0" w:space="0" w:color="auto"/>
            <w:left w:val="none" w:sz="0" w:space="0" w:color="auto"/>
            <w:bottom w:val="none" w:sz="0" w:space="0" w:color="auto"/>
            <w:right w:val="none" w:sz="0" w:space="0" w:color="auto"/>
          </w:divBdr>
        </w:div>
        <w:div w:id="1552960232">
          <w:marLeft w:val="1800"/>
          <w:marRight w:val="0"/>
          <w:marTop w:val="72"/>
          <w:marBottom w:val="0"/>
          <w:divBdr>
            <w:top w:val="none" w:sz="0" w:space="0" w:color="auto"/>
            <w:left w:val="none" w:sz="0" w:space="0" w:color="auto"/>
            <w:bottom w:val="none" w:sz="0" w:space="0" w:color="auto"/>
            <w:right w:val="none" w:sz="0" w:space="0" w:color="auto"/>
          </w:divBdr>
        </w:div>
        <w:div w:id="1698041912">
          <w:marLeft w:val="1800"/>
          <w:marRight w:val="0"/>
          <w:marTop w:val="72"/>
          <w:marBottom w:val="0"/>
          <w:divBdr>
            <w:top w:val="none" w:sz="0" w:space="0" w:color="auto"/>
            <w:left w:val="none" w:sz="0" w:space="0" w:color="auto"/>
            <w:bottom w:val="none" w:sz="0" w:space="0" w:color="auto"/>
            <w:right w:val="none" w:sz="0" w:space="0" w:color="auto"/>
          </w:divBdr>
        </w:div>
        <w:div w:id="1540433149">
          <w:marLeft w:val="547"/>
          <w:marRight w:val="0"/>
          <w:marTop w:val="91"/>
          <w:marBottom w:val="0"/>
          <w:divBdr>
            <w:top w:val="none" w:sz="0" w:space="0" w:color="auto"/>
            <w:left w:val="none" w:sz="0" w:space="0" w:color="auto"/>
            <w:bottom w:val="none" w:sz="0" w:space="0" w:color="auto"/>
            <w:right w:val="none" w:sz="0" w:space="0" w:color="auto"/>
          </w:divBdr>
        </w:div>
        <w:div w:id="2138641598">
          <w:marLeft w:val="547"/>
          <w:marRight w:val="0"/>
          <w:marTop w:val="91"/>
          <w:marBottom w:val="0"/>
          <w:divBdr>
            <w:top w:val="none" w:sz="0" w:space="0" w:color="auto"/>
            <w:left w:val="none" w:sz="0" w:space="0" w:color="auto"/>
            <w:bottom w:val="none" w:sz="0" w:space="0" w:color="auto"/>
            <w:right w:val="none" w:sz="0" w:space="0" w:color="auto"/>
          </w:divBdr>
        </w:div>
        <w:div w:id="1652951053">
          <w:marLeft w:val="1166"/>
          <w:marRight w:val="0"/>
          <w:marTop w:val="72"/>
          <w:marBottom w:val="0"/>
          <w:divBdr>
            <w:top w:val="none" w:sz="0" w:space="0" w:color="auto"/>
            <w:left w:val="none" w:sz="0" w:space="0" w:color="auto"/>
            <w:bottom w:val="none" w:sz="0" w:space="0" w:color="auto"/>
            <w:right w:val="none" w:sz="0" w:space="0" w:color="auto"/>
          </w:divBdr>
        </w:div>
        <w:div w:id="75320856">
          <w:marLeft w:val="1800"/>
          <w:marRight w:val="0"/>
          <w:marTop w:val="62"/>
          <w:marBottom w:val="0"/>
          <w:divBdr>
            <w:top w:val="none" w:sz="0" w:space="0" w:color="auto"/>
            <w:left w:val="none" w:sz="0" w:space="0" w:color="auto"/>
            <w:bottom w:val="none" w:sz="0" w:space="0" w:color="auto"/>
            <w:right w:val="none" w:sz="0" w:space="0" w:color="auto"/>
          </w:divBdr>
        </w:div>
        <w:div w:id="90706807">
          <w:marLeft w:val="1800"/>
          <w:marRight w:val="0"/>
          <w:marTop w:val="62"/>
          <w:marBottom w:val="0"/>
          <w:divBdr>
            <w:top w:val="none" w:sz="0" w:space="0" w:color="auto"/>
            <w:left w:val="none" w:sz="0" w:space="0" w:color="auto"/>
            <w:bottom w:val="none" w:sz="0" w:space="0" w:color="auto"/>
            <w:right w:val="none" w:sz="0" w:space="0" w:color="auto"/>
          </w:divBdr>
        </w:div>
        <w:div w:id="1767269304">
          <w:marLeft w:val="1166"/>
          <w:marRight w:val="0"/>
          <w:marTop w:val="72"/>
          <w:marBottom w:val="0"/>
          <w:divBdr>
            <w:top w:val="none" w:sz="0" w:space="0" w:color="auto"/>
            <w:left w:val="none" w:sz="0" w:space="0" w:color="auto"/>
            <w:bottom w:val="none" w:sz="0" w:space="0" w:color="auto"/>
            <w:right w:val="none" w:sz="0" w:space="0" w:color="auto"/>
          </w:divBdr>
        </w:div>
        <w:div w:id="679503302">
          <w:marLeft w:val="1800"/>
          <w:marRight w:val="0"/>
          <w:marTop w:val="62"/>
          <w:marBottom w:val="0"/>
          <w:divBdr>
            <w:top w:val="none" w:sz="0" w:space="0" w:color="auto"/>
            <w:left w:val="none" w:sz="0" w:space="0" w:color="auto"/>
            <w:bottom w:val="none" w:sz="0" w:space="0" w:color="auto"/>
            <w:right w:val="none" w:sz="0" w:space="0" w:color="auto"/>
          </w:divBdr>
        </w:div>
        <w:div w:id="531118146">
          <w:marLeft w:val="1800"/>
          <w:marRight w:val="0"/>
          <w:marTop w:val="62"/>
          <w:marBottom w:val="0"/>
          <w:divBdr>
            <w:top w:val="none" w:sz="0" w:space="0" w:color="auto"/>
            <w:left w:val="none" w:sz="0" w:space="0" w:color="auto"/>
            <w:bottom w:val="none" w:sz="0" w:space="0" w:color="auto"/>
            <w:right w:val="none" w:sz="0" w:space="0" w:color="auto"/>
          </w:divBdr>
        </w:div>
        <w:div w:id="1539665226">
          <w:marLeft w:val="1800"/>
          <w:marRight w:val="0"/>
          <w:marTop w:val="62"/>
          <w:marBottom w:val="0"/>
          <w:divBdr>
            <w:top w:val="none" w:sz="0" w:space="0" w:color="auto"/>
            <w:left w:val="none" w:sz="0" w:space="0" w:color="auto"/>
            <w:bottom w:val="none" w:sz="0" w:space="0" w:color="auto"/>
            <w:right w:val="none" w:sz="0" w:space="0" w:color="auto"/>
          </w:divBdr>
        </w:div>
        <w:div w:id="8146000">
          <w:marLeft w:val="1166"/>
          <w:marRight w:val="0"/>
          <w:marTop w:val="72"/>
          <w:marBottom w:val="0"/>
          <w:divBdr>
            <w:top w:val="none" w:sz="0" w:space="0" w:color="auto"/>
            <w:left w:val="none" w:sz="0" w:space="0" w:color="auto"/>
            <w:bottom w:val="none" w:sz="0" w:space="0" w:color="auto"/>
            <w:right w:val="none" w:sz="0" w:space="0" w:color="auto"/>
          </w:divBdr>
        </w:div>
        <w:div w:id="1477182748">
          <w:marLeft w:val="1800"/>
          <w:marRight w:val="0"/>
          <w:marTop w:val="62"/>
          <w:marBottom w:val="0"/>
          <w:divBdr>
            <w:top w:val="none" w:sz="0" w:space="0" w:color="auto"/>
            <w:left w:val="none" w:sz="0" w:space="0" w:color="auto"/>
            <w:bottom w:val="none" w:sz="0" w:space="0" w:color="auto"/>
            <w:right w:val="none" w:sz="0" w:space="0" w:color="auto"/>
          </w:divBdr>
        </w:div>
        <w:div w:id="2046713676">
          <w:marLeft w:val="1166"/>
          <w:marRight w:val="0"/>
          <w:marTop w:val="72"/>
          <w:marBottom w:val="0"/>
          <w:divBdr>
            <w:top w:val="none" w:sz="0" w:space="0" w:color="auto"/>
            <w:left w:val="none" w:sz="0" w:space="0" w:color="auto"/>
            <w:bottom w:val="none" w:sz="0" w:space="0" w:color="auto"/>
            <w:right w:val="none" w:sz="0" w:space="0" w:color="auto"/>
          </w:divBdr>
        </w:div>
        <w:div w:id="471825431">
          <w:marLeft w:val="1800"/>
          <w:marRight w:val="0"/>
          <w:marTop w:val="62"/>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98035723">
      <w:bodyDiv w:val="1"/>
      <w:marLeft w:val="0"/>
      <w:marRight w:val="0"/>
      <w:marTop w:val="0"/>
      <w:marBottom w:val="0"/>
      <w:divBdr>
        <w:top w:val="none" w:sz="0" w:space="0" w:color="auto"/>
        <w:left w:val="none" w:sz="0" w:space="0" w:color="auto"/>
        <w:bottom w:val="none" w:sz="0" w:space="0" w:color="auto"/>
        <w:right w:val="none" w:sz="0" w:space="0" w:color="auto"/>
      </w:divBdr>
      <w:divsChild>
        <w:div w:id="1116018634">
          <w:marLeft w:val="547"/>
          <w:marRight w:val="0"/>
          <w:marTop w:val="154"/>
          <w:marBottom w:val="0"/>
          <w:divBdr>
            <w:top w:val="none" w:sz="0" w:space="0" w:color="auto"/>
            <w:left w:val="none" w:sz="0" w:space="0" w:color="auto"/>
            <w:bottom w:val="none" w:sz="0" w:space="0" w:color="auto"/>
            <w:right w:val="none" w:sz="0" w:space="0" w:color="auto"/>
          </w:divBdr>
        </w:div>
        <w:div w:id="1039161774">
          <w:marLeft w:val="1166"/>
          <w:marRight w:val="0"/>
          <w:marTop w:val="134"/>
          <w:marBottom w:val="0"/>
          <w:divBdr>
            <w:top w:val="none" w:sz="0" w:space="0" w:color="auto"/>
            <w:left w:val="none" w:sz="0" w:space="0" w:color="auto"/>
            <w:bottom w:val="none" w:sz="0" w:space="0" w:color="auto"/>
            <w:right w:val="none" w:sz="0" w:space="0" w:color="auto"/>
          </w:divBdr>
        </w:div>
        <w:div w:id="851802902">
          <w:marLeft w:val="547"/>
          <w:marRight w:val="0"/>
          <w:marTop w:val="154"/>
          <w:marBottom w:val="0"/>
          <w:divBdr>
            <w:top w:val="none" w:sz="0" w:space="0" w:color="auto"/>
            <w:left w:val="none" w:sz="0" w:space="0" w:color="auto"/>
            <w:bottom w:val="none" w:sz="0" w:space="0" w:color="auto"/>
            <w:right w:val="none" w:sz="0" w:space="0" w:color="auto"/>
          </w:divBdr>
        </w:div>
        <w:div w:id="1319919520">
          <w:marLeft w:val="1166"/>
          <w:marRight w:val="0"/>
          <w:marTop w:val="134"/>
          <w:marBottom w:val="0"/>
          <w:divBdr>
            <w:top w:val="none" w:sz="0" w:space="0" w:color="auto"/>
            <w:left w:val="none" w:sz="0" w:space="0" w:color="auto"/>
            <w:bottom w:val="none" w:sz="0" w:space="0" w:color="auto"/>
            <w:right w:val="none" w:sz="0" w:space="0" w:color="auto"/>
          </w:divBdr>
        </w:div>
        <w:div w:id="1794598517">
          <w:marLeft w:val="1166"/>
          <w:marRight w:val="0"/>
          <w:marTop w:val="134"/>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186402836">
      <w:bodyDiv w:val="1"/>
      <w:marLeft w:val="0"/>
      <w:marRight w:val="0"/>
      <w:marTop w:val="0"/>
      <w:marBottom w:val="0"/>
      <w:divBdr>
        <w:top w:val="none" w:sz="0" w:space="0" w:color="auto"/>
        <w:left w:val="none" w:sz="0" w:space="0" w:color="auto"/>
        <w:bottom w:val="none" w:sz="0" w:space="0" w:color="auto"/>
        <w:right w:val="none" w:sz="0" w:space="0" w:color="auto"/>
      </w:divBdr>
      <w:divsChild>
        <w:div w:id="1172524969">
          <w:marLeft w:val="547"/>
          <w:marRight w:val="0"/>
          <w:marTop w:val="91"/>
          <w:marBottom w:val="0"/>
          <w:divBdr>
            <w:top w:val="none" w:sz="0" w:space="0" w:color="auto"/>
            <w:left w:val="none" w:sz="0" w:space="0" w:color="auto"/>
            <w:bottom w:val="none" w:sz="0" w:space="0" w:color="auto"/>
            <w:right w:val="none" w:sz="0" w:space="0" w:color="auto"/>
          </w:divBdr>
        </w:div>
        <w:div w:id="2132556508">
          <w:marLeft w:val="1166"/>
          <w:marRight w:val="0"/>
          <w:marTop w:val="72"/>
          <w:marBottom w:val="0"/>
          <w:divBdr>
            <w:top w:val="none" w:sz="0" w:space="0" w:color="auto"/>
            <w:left w:val="none" w:sz="0" w:space="0" w:color="auto"/>
            <w:bottom w:val="none" w:sz="0" w:space="0" w:color="auto"/>
            <w:right w:val="none" w:sz="0" w:space="0" w:color="auto"/>
          </w:divBdr>
        </w:div>
        <w:div w:id="636187513">
          <w:marLeft w:val="1166"/>
          <w:marRight w:val="0"/>
          <w:marTop w:val="72"/>
          <w:marBottom w:val="0"/>
          <w:divBdr>
            <w:top w:val="none" w:sz="0" w:space="0" w:color="auto"/>
            <w:left w:val="none" w:sz="0" w:space="0" w:color="auto"/>
            <w:bottom w:val="none" w:sz="0" w:space="0" w:color="auto"/>
            <w:right w:val="none" w:sz="0" w:space="0" w:color="auto"/>
          </w:divBdr>
        </w:div>
        <w:div w:id="1385786340">
          <w:marLeft w:val="1166"/>
          <w:marRight w:val="0"/>
          <w:marTop w:val="72"/>
          <w:marBottom w:val="0"/>
          <w:divBdr>
            <w:top w:val="none" w:sz="0" w:space="0" w:color="auto"/>
            <w:left w:val="none" w:sz="0" w:space="0" w:color="auto"/>
            <w:bottom w:val="none" w:sz="0" w:space="0" w:color="auto"/>
            <w:right w:val="none" w:sz="0" w:space="0" w:color="auto"/>
          </w:divBdr>
        </w:div>
        <w:div w:id="288821641">
          <w:marLeft w:val="1166"/>
          <w:marRight w:val="0"/>
          <w:marTop w:val="72"/>
          <w:marBottom w:val="0"/>
          <w:divBdr>
            <w:top w:val="none" w:sz="0" w:space="0" w:color="auto"/>
            <w:left w:val="none" w:sz="0" w:space="0" w:color="auto"/>
            <w:bottom w:val="none" w:sz="0" w:space="0" w:color="auto"/>
            <w:right w:val="none" w:sz="0" w:space="0" w:color="auto"/>
          </w:divBdr>
        </w:div>
        <w:div w:id="1437754393">
          <w:marLeft w:val="1800"/>
          <w:marRight w:val="0"/>
          <w:marTop w:val="72"/>
          <w:marBottom w:val="0"/>
          <w:divBdr>
            <w:top w:val="none" w:sz="0" w:space="0" w:color="auto"/>
            <w:left w:val="none" w:sz="0" w:space="0" w:color="auto"/>
            <w:bottom w:val="none" w:sz="0" w:space="0" w:color="auto"/>
            <w:right w:val="none" w:sz="0" w:space="0" w:color="auto"/>
          </w:divBdr>
        </w:div>
        <w:div w:id="231425894">
          <w:marLeft w:val="1800"/>
          <w:marRight w:val="0"/>
          <w:marTop w:val="72"/>
          <w:marBottom w:val="0"/>
          <w:divBdr>
            <w:top w:val="none" w:sz="0" w:space="0" w:color="auto"/>
            <w:left w:val="none" w:sz="0" w:space="0" w:color="auto"/>
            <w:bottom w:val="none" w:sz="0" w:space="0" w:color="auto"/>
            <w:right w:val="none" w:sz="0" w:space="0" w:color="auto"/>
          </w:divBdr>
        </w:div>
        <w:div w:id="676424406">
          <w:marLeft w:val="547"/>
          <w:marRight w:val="0"/>
          <w:marTop w:val="91"/>
          <w:marBottom w:val="0"/>
          <w:divBdr>
            <w:top w:val="none" w:sz="0" w:space="0" w:color="auto"/>
            <w:left w:val="none" w:sz="0" w:space="0" w:color="auto"/>
            <w:bottom w:val="none" w:sz="0" w:space="0" w:color="auto"/>
            <w:right w:val="none" w:sz="0" w:space="0" w:color="auto"/>
          </w:divBdr>
        </w:div>
        <w:div w:id="284895162">
          <w:marLeft w:val="547"/>
          <w:marRight w:val="0"/>
          <w:marTop w:val="91"/>
          <w:marBottom w:val="0"/>
          <w:divBdr>
            <w:top w:val="none" w:sz="0" w:space="0" w:color="auto"/>
            <w:left w:val="none" w:sz="0" w:space="0" w:color="auto"/>
            <w:bottom w:val="none" w:sz="0" w:space="0" w:color="auto"/>
            <w:right w:val="none" w:sz="0" w:space="0" w:color="auto"/>
          </w:divBdr>
        </w:div>
        <w:div w:id="149251723">
          <w:marLeft w:val="1166"/>
          <w:marRight w:val="0"/>
          <w:marTop w:val="72"/>
          <w:marBottom w:val="0"/>
          <w:divBdr>
            <w:top w:val="none" w:sz="0" w:space="0" w:color="auto"/>
            <w:left w:val="none" w:sz="0" w:space="0" w:color="auto"/>
            <w:bottom w:val="none" w:sz="0" w:space="0" w:color="auto"/>
            <w:right w:val="none" w:sz="0" w:space="0" w:color="auto"/>
          </w:divBdr>
        </w:div>
        <w:div w:id="666175114">
          <w:marLeft w:val="1800"/>
          <w:marRight w:val="0"/>
          <w:marTop w:val="62"/>
          <w:marBottom w:val="0"/>
          <w:divBdr>
            <w:top w:val="none" w:sz="0" w:space="0" w:color="auto"/>
            <w:left w:val="none" w:sz="0" w:space="0" w:color="auto"/>
            <w:bottom w:val="none" w:sz="0" w:space="0" w:color="auto"/>
            <w:right w:val="none" w:sz="0" w:space="0" w:color="auto"/>
          </w:divBdr>
        </w:div>
        <w:div w:id="875312009">
          <w:marLeft w:val="1800"/>
          <w:marRight w:val="0"/>
          <w:marTop w:val="62"/>
          <w:marBottom w:val="0"/>
          <w:divBdr>
            <w:top w:val="none" w:sz="0" w:space="0" w:color="auto"/>
            <w:left w:val="none" w:sz="0" w:space="0" w:color="auto"/>
            <w:bottom w:val="none" w:sz="0" w:space="0" w:color="auto"/>
            <w:right w:val="none" w:sz="0" w:space="0" w:color="auto"/>
          </w:divBdr>
        </w:div>
        <w:div w:id="1417366870">
          <w:marLeft w:val="1166"/>
          <w:marRight w:val="0"/>
          <w:marTop w:val="72"/>
          <w:marBottom w:val="0"/>
          <w:divBdr>
            <w:top w:val="none" w:sz="0" w:space="0" w:color="auto"/>
            <w:left w:val="none" w:sz="0" w:space="0" w:color="auto"/>
            <w:bottom w:val="none" w:sz="0" w:space="0" w:color="auto"/>
            <w:right w:val="none" w:sz="0" w:space="0" w:color="auto"/>
          </w:divBdr>
        </w:div>
        <w:div w:id="939143890">
          <w:marLeft w:val="1800"/>
          <w:marRight w:val="0"/>
          <w:marTop w:val="62"/>
          <w:marBottom w:val="0"/>
          <w:divBdr>
            <w:top w:val="none" w:sz="0" w:space="0" w:color="auto"/>
            <w:left w:val="none" w:sz="0" w:space="0" w:color="auto"/>
            <w:bottom w:val="none" w:sz="0" w:space="0" w:color="auto"/>
            <w:right w:val="none" w:sz="0" w:space="0" w:color="auto"/>
          </w:divBdr>
        </w:div>
        <w:div w:id="1365521033">
          <w:marLeft w:val="1800"/>
          <w:marRight w:val="0"/>
          <w:marTop w:val="62"/>
          <w:marBottom w:val="0"/>
          <w:divBdr>
            <w:top w:val="none" w:sz="0" w:space="0" w:color="auto"/>
            <w:left w:val="none" w:sz="0" w:space="0" w:color="auto"/>
            <w:bottom w:val="none" w:sz="0" w:space="0" w:color="auto"/>
            <w:right w:val="none" w:sz="0" w:space="0" w:color="auto"/>
          </w:divBdr>
        </w:div>
        <w:div w:id="647319906">
          <w:marLeft w:val="1800"/>
          <w:marRight w:val="0"/>
          <w:marTop w:val="62"/>
          <w:marBottom w:val="0"/>
          <w:divBdr>
            <w:top w:val="none" w:sz="0" w:space="0" w:color="auto"/>
            <w:left w:val="none" w:sz="0" w:space="0" w:color="auto"/>
            <w:bottom w:val="none" w:sz="0" w:space="0" w:color="auto"/>
            <w:right w:val="none" w:sz="0" w:space="0" w:color="auto"/>
          </w:divBdr>
        </w:div>
        <w:div w:id="2106732566">
          <w:marLeft w:val="1166"/>
          <w:marRight w:val="0"/>
          <w:marTop w:val="72"/>
          <w:marBottom w:val="0"/>
          <w:divBdr>
            <w:top w:val="none" w:sz="0" w:space="0" w:color="auto"/>
            <w:left w:val="none" w:sz="0" w:space="0" w:color="auto"/>
            <w:bottom w:val="none" w:sz="0" w:space="0" w:color="auto"/>
            <w:right w:val="none" w:sz="0" w:space="0" w:color="auto"/>
          </w:divBdr>
        </w:div>
        <w:div w:id="1472284891">
          <w:marLeft w:val="1800"/>
          <w:marRight w:val="0"/>
          <w:marTop w:val="62"/>
          <w:marBottom w:val="0"/>
          <w:divBdr>
            <w:top w:val="none" w:sz="0" w:space="0" w:color="auto"/>
            <w:left w:val="none" w:sz="0" w:space="0" w:color="auto"/>
            <w:bottom w:val="none" w:sz="0" w:space="0" w:color="auto"/>
            <w:right w:val="none" w:sz="0" w:space="0" w:color="auto"/>
          </w:divBdr>
        </w:div>
        <w:div w:id="2009290378">
          <w:marLeft w:val="1166"/>
          <w:marRight w:val="0"/>
          <w:marTop w:val="72"/>
          <w:marBottom w:val="0"/>
          <w:divBdr>
            <w:top w:val="none" w:sz="0" w:space="0" w:color="auto"/>
            <w:left w:val="none" w:sz="0" w:space="0" w:color="auto"/>
            <w:bottom w:val="none" w:sz="0" w:space="0" w:color="auto"/>
            <w:right w:val="none" w:sz="0" w:space="0" w:color="auto"/>
          </w:divBdr>
        </w:div>
        <w:div w:id="585725892">
          <w:marLeft w:val="1800"/>
          <w:marRight w:val="0"/>
          <w:marTop w:val="62"/>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7275513">
      <w:bodyDiv w:val="1"/>
      <w:marLeft w:val="0"/>
      <w:marRight w:val="0"/>
      <w:marTop w:val="0"/>
      <w:marBottom w:val="0"/>
      <w:divBdr>
        <w:top w:val="none" w:sz="0" w:space="0" w:color="auto"/>
        <w:left w:val="none" w:sz="0" w:space="0" w:color="auto"/>
        <w:bottom w:val="none" w:sz="0" w:space="0" w:color="auto"/>
        <w:right w:val="none" w:sz="0" w:space="0" w:color="auto"/>
      </w:divBdr>
      <w:divsChild>
        <w:div w:id="510071036">
          <w:marLeft w:val="547"/>
          <w:marRight w:val="0"/>
          <w:marTop w:val="144"/>
          <w:marBottom w:val="0"/>
          <w:divBdr>
            <w:top w:val="none" w:sz="0" w:space="0" w:color="auto"/>
            <w:left w:val="none" w:sz="0" w:space="0" w:color="auto"/>
            <w:bottom w:val="none" w:sz="0" w:space="0" w:color="auto"/>
            <w:right w:val="none" w:sz="0" w:space="0" w:color="auto"/>
          </w:divBdr>
        </w:div>
        <w:div w:id="1697730668">
          <w:marLeft w:val="1166"/>
          <w:marRight w:val="0"/>
          <w:marTop w:val="125"/>
          <w:marBottom w:val="0"/>
          <w:divBdr>
            <w:top w:val="none" w:sz="0" w:space="0" w:color="auto"/>
            <w:left w:val="none" w:sz="0" w:space="0" w:color="auto"/>
            <w:bottom w:val="none" w:sz="0" w:space="0" w:color="auto"/>
            <w:right w:val="none" w:sz="0" w:space="0" w:color="auto"/>
          </w:divBdr>
        </w:div>
        <w:div w:id="1332951440">
          <w:marLeft w:val="1800"/>
          <w:marRight w:val="0"/>
          <w:marTop w:val="106"/>
          <w:marBottom w:val="0"/>
          <w:divBdr>
            <w:top w:val="none" w:sz="0" w:space="0" w:color="auto"/>
            <w:left w:val="none" w:sz="0" w:space="0" w:color="auto"/>
            <w:bottom w:val="none" w:sz="0" w:space="0" w:color="auto"/>
            <w:right w:val="none" w:sz="0" w:space="0" w:color="auto"/>
          </w:divBdr>
        </w:div>
        <w:div w:id="528302448">
          <w:marLeft w:val="1800"/>
          <w:marRight w:val="0"/>
          <w:marTop w:val="106"/>
          <w:marBottom w:val="0"/>
          <w:divBdr>
            <w:top w:val="none" w:sz="0" w:space="0" w:color="auto"/>
            <w:left w:val="none" w:sz="0" w:space="0" w:color="auto"/>
            <w:bottom w:val="none" w:sz="0" w:space="0" w:color="auto"/>
            <w:right w:val="none" w:sz="0" w:space="0" w:color="auto"/>
          </w:divBdr>
        </w:div>
        <w:div w:id="1947468033">
          <w:marLeft w:val="1166"/>
          <w:marRight w:val="0"/>
          <w:marTop w:val="125"/>
          <w:marBottom w:val="0"/>
          <w:divBdr>
            <w:top w:val="none" w:sz="0" w:space="0" w:color="auto"/>
            <w:left w:val="none" w:sz="0" w:space="0" w:color="auto"/>
            <w:bottom w:val="none" w:sz="0" w:space="0" w:color="auto"/>
            <w:right w:val="none" w:sz="0" w:space="0" w:color="auto"/>
          </w:divBdr>
        </w:div>
        <w:div w:id="1124621851">
          <w:marLeft w:val="1800"/>
          <w:marRight w:val="0"/>
          <w:marTop w:val="106"/>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930028">
      <w:bodyDiv w:val="1"/>
      <w:marLeft w:val="0"/>
      <w:marRight w:val="0"/>
      <w:marTop w:val="0"/>
      <w:marBottom w:val="0"/>
      <w:divBdr>
        <w:top w:val="none" w:sz="0" w:space="0" w:color="auto"/>
        <w:left w:val="none" w:sz="0" w:space="0" w:color="auto"/>
        <w:bottom w:val="none" w:sz="0" w:space="0" w:color="auto"/>
        <w:right w:val="none" w:sz="0" w:space="0" w:color="auto"/>
      </w:divBdr>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83783239">
      <w:bodyDiv w:val="1"/>
      <w:marLeft w:val="0"/>
      <w:marRight w:val="0"/>
      <w:marTop w:val="0"/>
      <w:marBottom w:val="0"/>
      <w:divBdr>
        <w:top w:val="none" w:sz="0" w:space="0" w:color="auto"/>
        <w:left w:val="none" w:sz="0" w:space="0" w:color="auto"/>
        <w:bottom w:val="none" w:sz="0" w:space="0" w:color="auto"/>
        <w:right w:val="none" w:sz="0" w:space="0" w:color="auto"/>
      </w:divBdr>
      <w:divsChild>
        <w:div w:id="962737659">
          <w:marLeft w:val="0"/>
          <w:marRight w:val="0"/>
          <w:marTop w:val="0"/>
          <w:marBottom w:val="0"/>
          <w:divBdr>
            <w:top w:val="none" w:sz="0" w:space="0" w:color="auto"/>
            <w:left w:val="none" w:sz="0" w:space="0" w:color="auto"/>
            <w:bottom w:val="none" w:sz="0" w:space="0" w:color="auto"/>
            <w:right w:val="none" w:sz="0" w:space="0" w:color="auto"/>
          </w:divBdr>
        </w:div>
      </w:divsChild>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37464995">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2330042">
      <w:bodyDiv w:val="1"/>
      <w:marLeft w:val="0"/>
      <w:marRight w:val="0"/>
      <w:marTop w:val="0"/>
      <w:marBottom w:val="0"/>
      <w:divBdr>
        <w:top w:val="none" w:sz="0" w:space="0" w:color="auto"/>
        <w:left w:val="none" w:sz="0" w:space="0" w:color="auto"/>
        <w:bottom w:val="none" w:sz="0" w:space="0" w:color="auto"/>
        <w:right w:val="none" w:sz="0" w:space="0" w:color="auto"/>
      </w:divBdr>
      <w:divsChild>
        <w:div w:id="151218770">
          <w:marLeft w:val="547"/>
          <w:marRight w:val="0"/>
          <w:marTop w:val="115"/>
          <w:marBottom w:val="0"/>
          <w:divBdr>
            <w:top w:val="none" w:sz="0" w:space="0" w:color="auto"/>
            <w:left w:val="none" w:sz="0" w:space="0" w:color="auto"/>
            <w:bottom w:val="none" w:sz="0" w:space="0" w:color="auto"/>
            <w:right w:val="none" w:sz="0" w:space="0" w:color="auto"/>
          </w:divBdr>
        </w:div>
        <w:div w:id="129985887">
          <w:marLeft w:val="1166"/>
          <w:marRight w:val="0"/>
          <w:marTop w:val="115"/>
          <w:marBottom w:val="0"/>
          <w:divBdr>
            <w:top w:val="none" w:sz="0" w:space="0" w:color="auto"/>
            <w:left w:val="none" w:sz="0" w:space="0" w:color="auto"/>
            <w:bottom w:val="none" w:sz="0" w:space="0" w:color="auto"/>
            <w:right w:val="none" w:sz="0" w:space="0" w:color="auto"/>
          </w:divBdr>
        </w:div>
        <w:div w:id="2068458130">
          <w:marLeft w:val="1166"/>
          <w:marRight w:val="0"/>
          <w:marTop w:val="115"/>
          <w:marBottom w:val="0"/>
          <w:divBdr>
            <w:top w:val="none" w:sz="0" w:space="0" w:color="auto"/>
            <w:left w:val="none" w:sz="0" w:space="0" w:color="auto"/>
            <w:bottom w:val="none" w:sz="0" w:space="0" w:color="auto"/>
            <w:right w:val="none" w:sz="0" w:space="0" w:color="auto"/>
          </w:divBdr>
        </w:div>
        <w:div w:id="17715123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749DF-A67C-40A5-AC2F-657A0956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3</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225</cp:revision>
  <dcterms:created xsi:type="dcterms:W3CDTF">2021-03-31T01:56:00Z</dcterms:created>
  <dcterms:modified xsi:type="dcterms:W3CDTF">2022-04-25T06:01:00Z</dcterms:modified>
</cp:coreProperties>
</file>